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733F" w14:textId="77777777" w:rsidR="00FD3E90" w:rsidRPr="009A4537" w:rsidRDefault="00FD3E90">
      <w:pPr>
        <w:suppressAutoHyphens/>
        <w:rPr>
          <w:szCs w:val="22"/>
          <w:lang w:val="sv-SE"/>
        </w:rPr>
      </w:pPr>
    </w:p>
    <w:p w14:paraId="2C110404" w14:textId="77777777" w:rsidR="00FD3E90" w:rsidRPr="009A4537" w:rsidRDefault="00FD3E90">
      <w:pPr>
        <w:suppressAutoHyphens/>
        <w:rPr>
          <w:szCs w:val="22"/>
          <w:lang w:val="sv-SE"/>
        </w:rPr>
      </w:pPr>
    </w:p>
    <w:p w14:paraId="5A9A84DB" w14:textId="33392E69" w:rsidR="00BC0BD5" w:rsidRPr="009A4537" w:rsidRDefault="00752ACE" w:rsidP="00BC0BD5">
      <w:pPr>
        <w:suppressAutoHyphens/>
        <w:rPr>
          <w:lang w:val="sv-SE"/>
        </w:rPr>
      </w:pPr>
      <w:r>
        <w:rPr>
          <w:noProof/>
          <w:lang w:val="en-IN" w:eastAsia="en-IN"/>
        </w:rPr>
        <w:drawing>
          <wp:inline distT="0" distB="0" distL="0" distR="0" wp14:anchorId="44505E9C" wp14:editId="5B6F7AFD">
            <wp:extent cx="196850" cy="171450"/>
            <wp:effectExtent l="0" t="0" r="0" b="0"/>
            <wp:docPr id="1"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BC0BD5" w:rsidRPr="009A4537">
        <w:rPr>
          <w:lang w:val="sv-SE"/>
        </w:rPr>
        <w:t>Detta läkemedel är föremål för utökad övervakning. Detta kommer att göra det möjligt att snabbt identifiera ny säkerhetsinformation. Hälso- och sjukvårdspersonal uppmanas att rapportera varje misstänkt biverkning. Se avsnitt</w:t>
      </w:r>
      <w:r w:rsidR="00CF07A6" w:rsidRPr="009A4537">
        <w:rPr>
          <w:lang w:val="sv-SE"/>
        </w:rPr>
        <w:t> </w:t>
      </w:r>
      <w:r w:rsidR="00BC0BD5" w:rsidRPr="009A4537">
        <w:rPr>
          <w:lang w:val="sv-SE"/>
        </w:rPr>
        <w:t>4.8 om hur man rapporterar biverkningar.</w:t>
      </w:r>
    </w:p>
    <w:p w14:paraId="74E7BF17" w14:textId="77777777" w:rsidR="00BC0BD5" w:rsidRPr="009A4537" w:rsidRDefault="00BC0BD5" w:rsidP="00BC0BD5">
      <w:pPr>
        <w:suppressAutoHyphens/>
        <w:rPr>
          <w:lang w:val="sv-SE"/>
        </w:rPr>
      </w:pPr>
    </w:p>
    <w:p w14:paraId="799AC705" w14:textId="77777777" w:rsidR="00FD3E90" w:rsidRPr="009A4537" w:rsidRDefault="00FD3E90" w:rsidP="00FB7CBC">
      <w:pPr>
        <w:suppressAutoHyphens/>
        <w:rPr>
          <w:szCs w:val="22"/>
          <w:lang w:val="sv-SE"/>
        </w:rPr>
      </w:pPr>
      <w:r w:rsidRPr="009A4537">
        <w:rPr>
          <w:b/>
          <w:szCs w:val="22"/>
          <w:lang w:val="sv-SE"/>
        </w:rPr>
        <w:t>1.</w:t>
      </w:r>
      <w:r w:rsidRPr="009A4537">
        <w:rPr>
          <w:b/>
          <w:szCs w:val="22"/>
          <w:lang w:val="sv-SE"/>
        </w:rPr>
        <w:tab/>
        <w:t>LÄKEMEDLETS NAMN</w:t>
      </w:r>
    </w:p>
    <w:p w14:paraId="41D1F9C9" w14:textId="77777777" w:rsidR="00FD3E90" w:rsidRPr="009A4537" w:rsidRDefault="00FD3E90">
      <w:pPr>
        <w:suppressAutoHyphens/>
        <w:rPr>
          <w:szCs w:val="22"/>
          <w:lang w:val="sv-SE"/>
        </w:rPr>
      </w:pPr>
    </w:p>
    <w:p w14:paraId="2F686E4F" w14:textId="77777777" w:rsidR="00FD3E90" w:rsidRPr="009A4537" w:rsidRDefault="00BC0BD5">
      <w:pPr>
        <w:suppressAutoHyphens/>
        <w:rPr>
          <w:szCs w:val="22"/>
          <w:lang w:val="sv-SE"/>
        </w:rPr>
      </w:pPr>
      <w:r w:rsidRPr="009A4537">
        <w:rPr>
          <w:szCs w:val="22"/>
          <w:lang w:val="sv-SE"/>
        </w:rPr>
        <w:t>Sondelbay</w:t>
      </w:r>
      <w:r w:rsidR="00FD3E90" w:rsidRPr="009A4537">
        <w:rPr>
          <w:szCs w:val="22"/>
          <w:lang w:val="sv-SE"/>
        </w:rPr>
        <w:t xml:space="preserve"> 20</w:t>
      </w:r>
      <w:r w:rsidR="00855A33" w:rsidRPr="009A4537">
        <w:rPr>
          <w:szCs w:val="22"/>
          <w:lang w:val="sv-SE"/>
        </w:rPr>
        <w:t> mikro</w:t>
      </w:r>
      <w:r w:rsidR="00FD3E90" w:rsidRPr="009A4537">
        <w:rPr>
          <w:szCs w:val="22"/>
          <w:lang w:val="sv-SE"/>
        </w:rPr>
        <w:t>gram/80</w:t>
      </w:r>
      <w:r w:rsidR="00855A33" w:rsidRPr="009A4537">
        <w:rPr>
          <w:szCs w:val="22"/>
          <w:lang w:val="sv-SE"/>
        </w:rPr>
        <w:t> mikro</w:t>
      </w:r>
      <w:r w:rsidR="00FD3E90" w:rsidRPr="009A4537">
        <w:rPr>
          <w:szCs w:val="22"/>
          <w:lang w:val="sv-SE"/>
        </w:rPr>
        <w:t>liter, injektionsvätska, lösning i förfylld injektionspenna</w:t>
      </w:r>
    </w:p>
    <w:p w14:paraId="545CA1D1" w14:textId="77777777" w:rsidR="00FD3E90" w:rsidRPr="009A4537" w:rsidRDefault="00FD3E90">
      <w:pPr>
        <w:suppressAutoHyphens/>
        <w:rPr>
          <w:szCs w:val="22"/>
          <w:lang w:val="sv-SE"/>
        </w:rPr>
      </w:pPr>
    </w:p>
    <w:p w14:paraId="00B8B5F5" w14:textId="77777777" w:rsidR="00FD3E90" w:rsidRPr="009A4537" w:rsidRDefault="00FD3E90">
      <w:pPr>
        <w:suppressAutoHyphens/>
        <w:rPr>
          <w:szCs w:val="22"/>
          <w:lang w:val="sv-SE"/>
        </w:rPr>
      </w:pPr>
    </w:p>
    <w:p w14:paraId="4929221D" w14:textId="77777777" w:rsidR="00FD3E90" w:rsidRPr="009A4537" w:rsidRDefault="00FD3E90">
      <w:pPr>
        <w:suppressAutoHyphens/>
        <w:ind w:left="567" w:hanging="567"/>
        <w:rPr>
          <w:szCs w:val="22"/>
          <w:lang w:val="sv-SE"/>
        </w:rPr>
      </w:pPr>
      <w:r w:rsidRPr="009A4537">
        <w:rPr>
          <w:b/>
          <w:szCs w:val="22"/>
          <w:lang w:val="sv-SE"/>
        </w:rPr>
        <w:t>2.</w:t>
      </w:r>
      <w:r w:rsidRPr="009A4537">
        <w:rPr>
          <w:b/>
          <w:szCs w:val="22"/>
          <w:lang w:val="sv-SE"/>
        </w:rPr>
        <w:tab/>
        <w:t>KVALITATIV OCH KVANTITATIV SAMMANSÄTTNING</w:t>
      </w:r>
    </w:p>
    <w:p w14:paraId="4A0E8F86" w14:textId="77777777" w:rsidR="00FD3E90" w:rsidRPr="009A4537" w:rsidRDefault="00FD3E90">
      <w:pPr>
        <w:suppressAutoHyphens/>
        <w:rPr>
          <w:szCs w:val="22"/>
          <w:lang w:val="sv-SE"/>
        </w:rPr>
      </w:pPr>
    </w:p>
    <w:p w14:paraId="2BA4D695" w14:textId="77777777" w:rsidR="007B27D6" w:rsidRPr="009A4537" w:rsidRDefault="007B27D6">
      <w:pPr>
        <w:suppressAutoHyphens/>
        <w:rPr>
          <w:szCs w:val="22"/>
          <w:lang w:val="sv-SE"/>
        </w:rPr>
      </w:pPr>
      <w:r w:rsidRPr="009A4537">
        <w:rPr>
          <w:szCs w:val="22"/>
          <w:lang w:val="sv-SE"/>
        </w:rPr>
        <w:t>En dos innehåller 20</w:t>
      </w:r>
      <w:r w:rsidR="00BC0BD5" w:rsidRPr="009A4537">
        <w:rPr>
          <w:szCs w:val="22"/>
          <w:lang w:val="sv-SE"/>
        </w:rPr>
        <w:t> </w:t>
      </w:r>
      <w:r w:rsidRPr="009A4537">
        <w:rPr>
          <w:szCs w:val="22"/>
          <w:lang w:val="sv-SE"/>
        </w:rPr>
        <w:t>mikrogram teriparatid</w:t>
      </w:r>
      <w:r w:rsidR="002A461A" w:rsidRPr="009A4537">
        <w:rPr>
          <w:szCs w:val="22"/>
          <w:lang w:val="sv-SE"/>
        </w:rPr>
        <w:t>*</w:t>
      </w:r>
      <w:r w:rsidR="00BC0BD5" w:rsidRPr="009A4537">
        <w:rPr>
          <w:szCs w:val="22"/>
          <w:lang w:val="sv-SE"/>
        </w:rPr>
        <w:t xml:space="preserve"> i 80 mikroliter</w:t>
      </w:r>
      <w:r w:rsidRPr="009A4537">
        <w:rPr>
          <w:szCs w:val="22"/>
          <w:lang w:val="sv-SE"/>
        </w:rPr>
        <w:t>.</w:t>
      </w:r>
    </w:p>
    <w:p w14:paraId="6DC8CFDE" w14:textId="77777777" w:rsidR="00521E78" w:rsidRPr="009A4537" w:rsidRDefault="00521E78">
      <w:pPr>
        <w:suppressAutoHyphens/>
        <w:rPr>
          <w:szCs w:val="22"/>
          <w:lang w:val="sv-SE"/>
        </w:rPr>
      </w:pPr>
    </w:p>
    <w:p w14:paraId="4BDB6B43" w14:textId="77777777" w:rsidR="00FD3E90" w:rsidRPr="009A4537" w:rsidRDefault="00FD3E90">
      <w:pPr>
        <w:suppressAutoHyphens/>
        <w:rPr>
          <w:szCs w:val="22"/>
          <w:lang w:val="sv-SE"/>
        </w:rPr>
      </w:pPr>
      <w:r w:rsidRPr="009A4537">
        <w:rPr>
          <w:szCs w:val="22"/>
          <w:lang w:val="sv-SE"/>
        </w:rPr>
        <w:t xml:space="preserve">En förfylld injektionspenna à </w:t>
      </w:r>
      <w:r w:rsidR="002318E3" w:rsidRPr="009A4537">
        <w:rPr>
          <w:szCs w:val="22"/>
          <w:lang w:val="sv-SE"/>
        </w:rPr>
        <w:t>2,4 </w:t>
      </w:r>
      <w:r w:rsidR="00855A33" w:rsidRPr="009A4537">
        <w:rPr>
          <w:szCs w:val="22"/>
          <w:lang w:val="sv-SE"/>
        </w:rPr>
        <w:t>ml</w:t>
      </w:r>
      <w:r w:rsidRPr="009A4537">
        <w:rPr>
          <w:szCs w:val="22"/>
          <w:lang w:val="sv-SE"/>
        </w:rPr>
        <w:t xml:space="preserve"> innehåller </w:t>
      </w:r>
      <w:r w:rsidR="002318E3" w:rsidRPr="009A4537">
        <w:rPr>
          <w:szCs w:val="22"/>
          <w:lang w:val="sv-SE"/>
        </w:rPr>
        <w:t>600 </w:t>
      </w:r>
      <w:r w:rsidR="00855A33" w:rsidRPr="009A4537">
        <w:rPr>
          <w:szCs w:val="22"/>
          <w:lang w:val="sv-SE"/>
        </w:rPr>
        <w:t>mikro</w:t>
      </w:r>
      <w:r w:rsidRPr="009A4537">
        <w:rPr>
          <w:szCs w:val="22"/>
          <w:lang w:val="sv-SE"/>
        </w:rPr>
        <w:t>gram teriparatid</w:t>
      </w:r>
      <w:r w:rsidR="006D4D00" w:rsidRPr="009A4537">
        <w:rPr>
          <w:szCs w:val="22"/>
          <w:lang w:val="sv-SE"/>
        </w:rPr>
        <w:t>.</w:t>
      </w:r>
      <w:r w:rsidRPr="009A4537">
        <w:rPr>
          <w:szCs w:val="22"/>
          <w:lang w:val="sv-SE"/>
        </w:rPr>
        <w:t xml:space="preserve"> </w:t>
      </w:r>
      <w:r w:rsidR="00DC3296" w:rsidRPr="009A4537">
        <w:rPr>
          <w:szCs w:val="22"/>
          <w:lang w:val="sv-SE"/>
        </w:rPr>
        <w:t>Varje milliliter injektionsvätska, lösning innehål</w:t>
      </w:r>
      <w:r w:rsidR="00B151D0" w:rsidRPr="009A4537">
        <w:rPr>
          <w:szCs w:val="22"/>
          <w:lang w:val="sv-SE"/>
        </w:rPr>
        <w:t>l</w:t>
      </w:r>
      <w:r w:rsidR="00DC3296" w:rsidRPr="009A4537">
        <w:rPr>
          <w:szCs w:val="22"/>
          <w:lang w:val="sv-SE"/>
        </w:rPr>
        <w:t>er 250 mikrogram teriparatid.</w:t>
      </w:r>
    </w:p>
    <w:p w14:paraId="3BAECDAB" w14:textId="77777777" w:rsidR="00FD3E90" w:rsidRPr="009A4537" w:rsidRDefault="00FD3E90">
      <w:pPr>
        <w:suppressAutoHyphens/>
        <w:rPr>
          <w:szCs w:val="22"/>
          <w:lang w:val="sv-SE"/>
        </w:rPr>
      </w:pPr>
    </w:p>
    <w:p w14:paraId="3C14FB47" w14:textId="77777777" w:rsidR="00FD3E90" w:rsidRPr="009A4537" w:rsidRDefault="0011512F">
      <w:pPr>
        <w:suppressAutoHyphens/>
        <w:rPr>
          <w:szCs w:val="22"/>
          <w:lang w:val="sv-SE"/>
        </w:rPr>
      </w:pPr>
      <w:r w:rsidRPr="009A4537">
        <w:rPr>
          <w:szCs w:val="22"/>
          <w:lang w:val="sv-SE"/>
        </w:rPr>
        <w:t>*</w:t>
      </w:r>
      <w:r w:rsidR="00FD3E90" w:rsidRPr="009A4537">
        <w:rPr>
          <w:szCs w:val="22"/>
          <w:lang w:val="sv-SE"/>
        </w:rPr>
        <w:t>Teriparatid, rhPTH (1</w:t>
      </w:r>
      <w:r w:rsidR="007A25BE" w:rsidRPr="009A4537">
        <w:rPr>
          <w:szCs w:val="22"/>
          <w:lang w:val="sv-SE"/>
        </w:rPr>
        <w:noBreakHyphen/>
      </w:r>
      <w:r w:rsidR="00FD3E90" w:rsidRPr="009A4537">
        <w:rPr>
          <w:szCs w:val="22"/>
          <w:lang w:val="sv-SE"/>
        </w:rPr>
        <w:t>34), är identiskt med 34</w:t>
      </w:r>
      <w:r w:rsidR="00DC3296" w:rsidRPr="009A4537">
        <w:rPr>
          <w:szCs w:val="22"/>
          <w:lang w:val="sv-SE"/>
        </w:rPr>
        <w:t> </w:t>
      </w:r>
      <w:r w:rsidR="00FD3E90" w:rsidRPr="009A4537">
        <w:rPr>
          <w:szCs w:val="22"/>
          <w:lang w:val="sv-SE"/>
        </w:rPr>
        <w:t>N</w:t>
      </w:r>
      <w:r w:rsidR="00DC3296" w:rsidRPr="009A4537">
        <w:rPr>
          <w:szCs w:val="22"/>
          <w:lang w:val="sv-SE"/>
        </w:rPr>
        <w:noBreakHyphen/>
      </w:r>
      <w:r w:rsidR="00FD3E90" w:rsidRPr="009A4537">
        <w:rPr>
          <w:szCs w:val="22"/>
          <w:lang w:val="sv-SE"/>
        </w:rPr>
        <w:t xml:space="preserve">terminalaminosyrasekvensen av endogent, humant parathormon och tillverkas i </w:t>
      </w:r>
      <w:r w:rsidR="00DC3296" w:rsidRPr="009A4537">
        <w:rPr>
          <w:i/>
          <w:noProof/>
          <w:szCs w:val="22"/>
          <w:lang w:val="sv-SE"/>
        </w:rPr>
        <w:t>Escherichia</w:t>
      </w:r>
      <w:r w:rsidR="00FD3E90" w:rsidRPr="009A4537">
        <w:rPr>
          <w:szCs w:val="22"/>
          <w:lang w:val="sv-SE"/>
        </w:rPr>
        <w:t xml:space="preserve"> </w:t>
      </w:r>
      <w:r w:rsidR="00FD3E90" w:rsidRPr="009A4537">
        <w:rPr>
          <w:i/>
          <w:iCs/>
          <w:szCs w:val="22"/>
          <w:lang w:val="sv-SE"/>
        </w:rPr>
        <w:t>coli</w:t>
      </w:r>
      <w:r w:rsidR="00FD3E90" w:rsidRPr="009A4537">
        <w:rPr>
          <w:szCs w:val="22"/>
          <w:lang w:val="sv-SE"/>
        </w:rPr>
        <w:t xml:space="preserve"> med rekombinant DNA</w:t>
      </w:r>
      <w:r w:rsidR="00DC3296" w:rsidRPr="009A4537">
        <w:rPr>
          <w:szCs w:val="22"/>
          <w:lang w:val="sv-SE"/>
        </w:rPr>
        <w:noBreakHyphen/>
      </w:r>
      <w:r w:rsidR="00FD3E90" w:rsidRPr="009A4537">
        <w:rPr>
          <w:szCs w:val="22"/>
          <w:lang w:val="sv-SE"/>
        </w:rPr>
        <w:t>teknologi.</w:t>
      </w:r>
    </w:p>
    <w:p w14:paraId="0BF8AAB0" w14:textId="77777777" w:rsidR="00FD3E90" w:rsidRPr="009A4537" w:rsidRDefault="00FD3E90">
      <w:pPr>
        <w:suppressAutoHyphens/>
        <w:rPr>
          <w:szCs w:val="22"/>
          <w:lang w:val="sv-SE"/>
        </w:rPr>
      </w:pPr>
    </w:p>
    <w:p w14:paraId="5DB8D7E2" w14:textId="77777777" w:rsidR="00FD3E90" w:rsidRPr="009A4537" w:rsidRDefault="00FD3E90">
      <w:pPr>
        <w:suppressAutoHyphens/>
        <w:rPr>
          <w:szCs w:val="22"/>
          <w:lang w:val="sv-SE"/>
        </w:rPr>
      </w:pPr>
      <w:r w:rsidRPr="009A4537">
        <w:rPr>
          <w:szCs w:val="22"/>
          <w:lang w:val="sv-SE"/>
        </w:rPr>
        <w:t xml:space="preserve">För fullständig förteckning över hjälpämnen, se </w:t>
      </w:r>
      <w:r w:rsidR="002A461A" w:rsidRPr="009A4537">
        <w:rPr>
          <w:szCs w:val="22"/>
          <w:lang w:val="sv-SE"/>
        </w:rPr>
        <w:t>avsnitt</w:t>
      </w:r>
      <w:r w:rsidR="00DC3296" w:rsidRPr="009A4537">
        <w:rPr>
          <w:szCs w:val="22"/>
          <w:lang w:val="sv-SE"/>
        </w:rPr>
        <w:t> </w:t>
      </w:r>
      <w:r w:rsidRPr="009A4537">
        <w:rPr>
          <w:szCs w:val="22"/>
          <w:lang w:val="sv-SE"/>
        </w:rPr>
        <w:t>6.1.</w:t>
      </w:r>
    </w:p>
    <w:p w14:paraId="173EF0EA" w14:textId="77777777" w:rsidR="00FD3E90" w:rsidRPr="009A4537" w:rsidRDefault="00FD3E90">
      <w:pPr>
        <w:suppressAutoHyphens/>
        <w:rPr>
          <w:szCs w:val="22"/>
          <w:lang w:val="sv-SE"/>
        </w:rPr>
      </w:pPr>
    </w:p>
    <w:p w14:paraId="64AD057E" w14:textId="77777777" w:rsidR="00FD3E90" w:rsidRPr="009A4537" w:rsidRDefault="00FD3E90">
      <w:pPr>
        <w:suppressAutoHyphens/>
        <w:rPr>
          <w:szCs w:val="22"/>
          <w:lang w:val="sv-SE"/>
        </w:rPr>
      </w:pPr>
    </w:p>
    <w:p w14:paraId="5CB88D5C" w14:textId="77777777" w:rsidR="00FD3E90" w:rsidRPr="009A4537" w:rsidRDefault="00FD3E90">
      <w:pPr>
        <w:suppressAutoHyphens/>
        <w:ind w:left="567" w:hanging="567"/>
        <w:rPr>
          <w:szCs w:val="22"/>
          <w:lang w:val="sv-SE"/>
        </w:rPr>
      </w:pPr>
      <w:r w:rsidRPr="009A4537">
        <w:rPr>
          <w:b/>
          <w:szCs w:val="22"/>
          <w:lang w:val="sv-SE"/>
        </w:rPr>
        <w:t>3.</w:t>
      </w:r>
      <w:r w:rsidRPr="009A4537">
        <w:rPr>
          <w:b/>
          <w:szCs w:val="22"/>
          <w:lang w:val="sv-SE"/>
        </w:rPr>
        <w:tab/>
        <w:t>LÄKEMEDELSFORM</w:t>
      </w:r>
    </w:p>
    <w:p w14:paraId="2F13F36A" w14:textId="77777777" w:rsidR="00FD3E90" w:rsidRPr="009A4537" w:rsidRDefault="00FD3E90">
      <w:pPr>
        <w:suppressAutoHyphens/>
        <w:rPr>
          <w:szCs w:val="22"/>
          <w:lang w:val="sv-SE"/>
        </w:rPr>
      </w:pPr>
    </w:p>
    <w:p w14:paraId="2B6E000D" w14:textId="77777777" w:rsidR="0011512F" w:rsidRPr="009A4537" w:rsidRDefault="00FD3E90">
      <w:pPr>
        <w:suppressAutoHyphens/>
        <w:rPr>
          <w:szCs w:val="22"/>
          <w:lang w:val="sv-SE"/>
        </w:rPr>
      </w:pPr>
      <w:r w:rsidRPr="009A4537">
        <w:rPr>
          <w:szCs w:val="22"/>
          <w:lang w:val="sv-SE"/>
        </w:rPr>
        <w:t>Injektionsvätska, lösning</w:t>
      </w:r>
      <w:r w:rsidR="00DC3296" w:rsidRPr="009A4537">
        <w:rPr>
          <w:szCs w:val="22"/>
          <w:lang w:val="sv-SE"/>
        </w:rPr>
        <w:t xml:space="preserve"> (injektion)</w:t>
      </w:r>
      <w:r w:rsidRPr="009A4537">
        <w:rPr>
          <w:szCs w:val="22"/>
          <w:lang w:val="sv-SE"/>
        </w:rPr>
        <w:t>.</w:t>
      </w:r>
    </w:p>
    <w:p w14:paraId="3604C4B2" w14:textId="77777777" w:rsidR="0011512F" w:rsidRPr="009A4537" w:rsidRDefault="0011512F">
      <w:pPr>
        <w:suppressAutoHyphens/>
        <w:rPr>
          <w:szCs w:val="22"/>
          <w:lang w:val="sv-SE"/>
        </w:rPr>
      </w:pPr>
    </w:p>
    <w:p w14:paraId="6FFAAF90" w14:textId="77777777" w:rsidR="00FD3E90" w:rsidRPr="009A4537" w:rsidRDefault="00FD3E90">
      <w:pPr>
        <w:suppressAutoHyphens/>
        <w:rPr>
          <w:szCs w:val="22"/>
          <w:lang w:val="sv-SE"/>
        </w:rPr>
      </w:pPr>
      <w:r w:rsidRPr="009A4537">
        <w:rPr>
          <w:szCs w:val="22"/>
          <w:lang w:val="sv-SE"/>
        </w:rPr>
        <w:t>Färglös, klar lösning.</w:t>
      </w:r>
    </w:p>
    <w:p w14:paraId="7F2E0B6A" w14:textId="77777777" w:rsidR="00FD3E90" w:rsidRPr="009A4537" w:rsidRDefault="00FD3E90">
      <w:pPr>
        <w:suppressAutoHyphens/>
        <w:rPr>
          <w:szCs w:val="22"/>
          <w:lang w:val="sv-SE"/>
        </w:rPr>
      </w:pPr>
    </w:p>
    <w:p w14:paraId="2478D520" w14:textId="77777777" w:rsidR="00FD3E90" w:rsidRPr="009A4537" w:rsidRDefault="00FD3E90">
      <w:pPr>
        <w:suppressAutoHyphens/>
        <w:rPr>
          <w:szCs w:val="22"/>
          <w:lang w:val="sv-SE"/>
        </w:rPr>
      </w:pPr>
    </w:p>
    <w:p w14:paraId="4A94EA97" w14:textId="77777777" w:rsidR="00FD3E90" w:rsidRPr="009A4537" w:rsidRDefault="00FD3E90">
      <w:pPr>
        <w:suppressAutoHyphens/>
        <w:ind w:left="567" w:hanging="567"/>
        <w:rPr>
          <w:szCs w:val="22"/>
          <w:lang w:val="sv-SE"/>
        </w:rPr>
      </w:pPr>
      <w:r w:rsidRPr="009A4537">
        <w:rPr>
          <w:b/>
          <w:szCs w:val="22"/>
          <w:lang w:val="sv-SE"/>
        </w:rPr>
        <w:t>4.</w:t>
      </w:r>
      <w:r w:rsidRPr="009A4537">
        <w:rPr>
          <w:b/>
          <w:szCs w:val="22"/>
          <w:lang w:val="sv-SE"/>
        </w:rPr>
        <w:tab/>
        <w:t>KLINISKA UPPGIFTER</w:t>
      </w:r>
    </w:p>
    <w:p w14:paraId="4DF88503" w14:textId="77777777" w:rsidR="00FD3E90" w:rsidRPr="009A4537" w:rsidRDefault="00FD3E90">
      <w:pPr>
        <w:pStyle w:val="Header"/>
        <w:tabs>
          <w:tab w:val="clear" w:pos="4320"/>
          <w:tab w:val="clear" w:pos="8640"/>
        </w:tabs>
        <w:suppressAutoHyphens/>
        <w:rPr>
          <w:szCs w:val="22"/>
          <w:lang w:val="sv-SE"/>
        </w:rPr>
      </w:pPr>
    </w:p>
    <w:p w14:paraId="52139BFB" w14:textId="77777777" w:rsidR="00FD3E90" w:rsidRPr="009A4537" w:rsidRDefault="00FD3E90">
      <w:pPr>
        <w:suppressAutoHyphens/>
        <w:ind w:left="567" w:hanging="567"/>
        <w:rPr>
          <w:szCs w:val="22"/>
          <w:lang w:val="sv-SE"/>
        </w:rPr>
      </w:pPr>
      <w:r w:rsidRPr="009A4537">
        <w:rPr>
          <w:b/>
          <w:szCs w:val="22"/>
          <w:lang w:val="sv-SE"/>
        </w:rPr>
        <w:t>4.1</w:t>
      </w:r>
      <w:r w:rsidRPr="009A4537">
        <w:rPr>
          <w:b/>
          <w:szCs w:val="22"/>
          <w:lang w:val="sv-SE"/>
        </w:rPr>
        <w:tab/>
        <w:t>Terapeutiska indikationer</w:t>
      </w:r>
    </w:p>
    <w:p w14:paraId="5553C87F" w14:textId="77777777" w:rsidR="00FD3E90" w:rsidRPr="009A4537" w:rsidRDefault="00FD3E90">
      <w:pPr>
        <w:suppressAutoHyphens/>
        <w:rPr>
          <w:szCs w:val="22"/>
          <w:lang w:val="sv-SE"/>
        </w:rPr>
      </w:pPr>
    </w:p>
    <w:p w14:paraId="0A3F8196" w14:textId="77777777" w:rsidR="00470F47" w:rsidRPr="009A4537" w:rsidRDefault="00BC0BD5">
      <w:pPr>
        <w:suppressAutoHyphens/>
        <w:rPr>
          <w:szCs w:val="22"/>
          <w:lang w:val="sv-SE"/>
        </w:rPr>
      </w:pPr>
      <w:r w:rsidRPr="009A4537">
        <w:rPr>
          <w:szCs w:val="22"/>
          <w:lang w:val="sv-SE"/>
        </w:rPr>
        <w:t>Sondelbay</w:t>
      </w:r>
      <w:r w:rsidR="00470F47" w:rsidRPr="009A4537">
        <w:rPr>
          <w:szCs w:val="22"/>
          <w:lang w:val="sv-SE"/>
        </w:rPr>
        <w:t xml:space="preserve"> är avsett för vuxna.</w:t>
      </w:r>
    </w:p>
    <w:p w14:paraId="415B1BFA" w14:textId="77777777" w:rsidR="00521E78" w:rsidRPr="009A4537" w:rsidRDefault="00521E78">
      <w:pPr>
        <w:suppressAutoHyphens/>
        <w:rPr>
          <w:szCs w:val="22"/>
          <w:lang w:val="sv-SE"/>
        </w:rPr>
      </w:pPr>
    </w:p>
    <w:p w14:paraId="5F4D2068" w14:textId="77777777" w:rsidR="00FD3E90" w:rsidRPr="009A4537" w:rsidRDefault="00FD3E90">
      <w:pPr>
        <w:suppressAutoHyphens/>
        <w:rPr>
          <w:szCs w:val="22"/>
          <w:lang w:val="sv-SE"/>
        </w:rPr>
      </w:pPr>
      <w:r w:rsidRPr="009A4537">
        <w:rPr>
          <w:szCs w:val="22"/>
          <w:lang w:val="sv-SE"/>
        </w:rPr>
        <w:t xml:space="preserve">Behandling av osteoporos hos postmenopausala kvinnor och män med ökad risk för frakturer (se </w:t>
      </w:r>
      <w:r w:rsidR="00DC3296" w:rsidRPr="009A4537">
        <w:rPr>
          <w:szCs w:val="22"/>
          <w:lang w:val="sv-SE"/>
        </w:rPr>
        <w:t>avsnitt </w:t>
      </w:r>
      <w:r w:rsidRPr="009A4537">
        <w:rPr>
          <w:szCs w:val="22"/>
          <w:lang w:val="sv-SE"/>
        </w:rPr>
        <w:t>5.1). Incidensen vertebrala och icke</w:t>
      </w:r>
      <w:r w:rsidR="007A25BE" w:rsidRPr="009A4537">
        <w:rPr>
          <w:szCs w:val="22"/>
          <w:lang w:val="sv-SE"/>
        </w:rPr>
        <w:noBreakHyphen/>
      </w:r>
      <w:r w:rsidRPr="009A4537">
        <w:rPr>
          <w:szCs w:val="22"/>
          <w:lang w:val="sv-SE"/>
        </w:rPr>
        <w:t>vertebrala frakturer reduceras signifikant hos postmenopausala kvinnor men detta har ej visats för höftfrakturer.</w:t>
      </w:r>
    </w:p>
    <w:p w14:paraId="2CE126C6" w14:textId="77777777" w:rsidR="00853AEF" w:rsidRPr="009A4537" w:rsidRDefault="00853AEF">
      <w:pPr>
        <w:suppressAutoHyphens/>
        <w:rPr>
          <w:szCs w:val="22"/>
          <w:lang w:val="sv-SE"/>
        </w:rPr>
      </w:pPr>
    </w:p>
    <w:p w14:paraId="54995079" w14:textId="77777777" w:rsidR="00853AEF" w:rsidRPr="009A4537" w:rsidRDefault="00853AEF">
      <w:pPr>
        <w:suppressAutoHyphens/>
        <w:rPr>
          <w:szCs w:val="22"/>
          <w:lang w:val="sv-SE"/>
        </w:rPr>
      </w:pPr>
      <w:r w:rsidRPr="009A4537">
        <w:rPr>
          <w:szCs w:val="22"/>
          <w:lang w:val="sv-SE"/>
        </w:rPr>
        <w:t xml:space="preserve">Behandling av osteoporos i samband med kronisk systemisk glukokortikoidbehandling hos kvinnor och män med ökad risk för frakturer (se </w:t>
      </w:r>
      <w:r w:rsidR="00DC3296" w:rsidRPr="009A4537">
        <w:rPr>
          <w:szCs w:val="22"/>
          <w:lang w:val="sv-SE"/>
        </w:rPr>
        <w:t>avsnitt </w:t>
      </w:r>
      <w:r w:rsidRPr="009A4537">
        <w:rPr>
          <w:szCs w:val="22"/>
          <w:lang w:val="sv-SE"/>
        </w:rPr>
        <w:t>5.1).</w:t>
      </w:r>
    </w:p>
    <w:p w14:paraId="18B103EE" w14:textId="77777777" w:rsidR="00FD3E90" w:rsidRPr="009A4537" w:rsidRDefault="00FD3E90">
      <w:pPr>
        <w:suppressAutoHyphens/>
        <w:rPr>
          <w:szCs w:val="22"/>
          <w:lang w:val="sv-SE"/>
        </w:rPr>
      </w:pPr>
    </w:p>
    <w:p w14:paraId="59F0905C" w14:textId="77777777" w:rsidR="00FD3E90" w:rsidRPr="009A4537" w:rsidRDefault="00FD3E90">
      <w:pPr>
        <w:suppressAutoHyphens/>
        <w:ind w:left="567" w:hanging="567"/>
        <w:rPr>
          <w:szCs w:val="22"/>
          <w:lang w:val="sv-SE"/>
        </w:rPr>
      </w:pPr>
      <w:r w:rsidRPr="009A4537">
        <w:rPr>
          <w:b/>
          <w:szCs w:val="22"/>
          <w:lang w:val="sv-SE"/>
        </w:rPr>
        <w:t>4.2</w:t>
      </w:r>
      <w:r w:rsidRPr="009A4537">
        <w:rPr>
          <w:b/>
          <w:szCs w:val="22"/>
          <w:lang w:val="sv-SE"/>
        </w:rPr>
        <w:tab/>
        <w:t>Dosering och administreringssätt</w:t>
      </w:r>
    </w:p>
    <w:p w14:paraId="7CDEFD86" w14:textId="77777777" w:rsidR="00FD3E90" w:rsidRPr="009A4537" w:rsidRDefault="00FD3E90">
      <w:pPr>
        <w:suppressAutoHyphens/>
        <w:rPr>
          <w:szCs w:val="22"/>
          <w:lang w:val="sv-SE"/>
        </w:rPr>
      </w:pPr>
    </w:p>
    <w:p w14:paraId="11B0F14C" w14:textId="77777777" w:rsidR="00470F47" w:rsidRPr="009A4537" w:rsidRDefault="00470F47">
      <w:pPr>
        <w:suppressAutoHyphens/>
        <w:rPr>
          <w:szCs w:val="22"/>
          <w:u w:val="single"/>
          <w:lang w:val="sv-SE"/>
        </w:rPr>
      </w:pPr>
      <w:r w:rsidRPr="009A4537">
        <w:rPr>
          <w:szCs w:val="22"/>
          <w:u w:val="single"/>
          <w:lang w:val="sv-SE"/>
        </w:rPr>
        <w:t>Dosering</w:t>
      </w:r>
    </w:p>
    <w:p w14:paraId="4C25AE93" w14:textId="77777777" w:rsidR="00521E78" w:rsidRPr="009A4537" w:rsidRDefault="00521E78">
      <w:pPr>
        <w:suppressAutoHyphens/>
        <w:rPr>
          <w:szCs w:val="22"/>
          <w:lang w:val="sv-SE"/>
        </w:rPr>
      </w:pPr>
    </w:p>
    <w:p w14:paraId="5CA71F8F" w14:textId="77777777" w:rsidR="00FD3E90" w:rsidRPr="009A4537" w:rsidRDefault="00FD3E90">
      <w:pPr>
        <w:suppressAutoHyphens/>
        <w:rPr>
          <w:szCs w:val="22"/>
          <w:lang w:val="sv-SE"/>
        </w:rPr>
      </w:pPr>
      <w:r w:rsidRPr="009A4537">
        <w:rPr>
          <w:szCs w:val="22"/>
          <w:lang w:val="sv-SE"/>
        </w:rPr>
        <w:t>Den rekommenderade dosen är 20</w:t>
      </w:r>
      <w:r w:rsidR="00855A33" w:rsidRPr="009A4537">
        <w:rPr>
          <w:szCs w:val="22"/>
          <w:lang w:val="sv-SE"/>
        </w:rPr>
        <w:t> mikro</w:t>
      </w:r>
      <w:r w:rsidRPr="009A4537">
        <w:rPr>
          <w:szCs w:val="22"/>
          <w:lang w:val="sv-SE"/>
        </w:rPr>
        <w:t>gram en gång dagligen.</w:t>
      </w:r>
    </w:p>
    <w:p w14:paraId="127288D8" w14:textId="77777777" w:rsidR="00FD3E90" w:rsidRPr="009A4537" w:rsidRDefault="00FD3E90">
      <w:pPr>
        <w:suppressAutoHyphens/>
        <w:rPr>
          <w:szCs w:val="22"/>
          <w:lang w:val="sv-SE"/>
        </w:rPr>
      </w:pPr>
    </w:p>
    <w:p w14:paraId="4EF87C6B" w14:textId="77777777" w:rsidR="00FD3E90" w:rsidRPr="009A4537" w:rsidRDefault="00FD3E90">
      <w:pPr>
        <w:suppressAutoHyphens/>
        <w:rPr>
          <w:szCs w:val="22"/>
          <w:lang w:val="sv-SE"/>
        </w:rPr>
      </w:pPr>
      <w:r w:rsidRPr="009A4537">
        <w:rPr>
          <w:szCs w:val="22"/>
          <w:lang w:val="sv-SE"/>
        </w:rPr>
        <w:t xml:space="preserve">Längsta behandlingstid med </w:t>
      </w:r>
      <w:r w:rsidR="00BC0BD5" w:rsidRPr="009A4537">
        <w:rPr>
          <w:szCs w:val="22"/>
          <w:lang w:val="sv-SE"/>
        </w:rPr>
        <w:t>Sondelbay</w:t>
      </w:r>
      <w:r w:rsidRPr="009A4537">
        <w:rPr>
          <w:szCs w:val="22"/>
          <w:lang w:val="sv-SE"/>
        </w:rPr>
        <w:t xml:space="preserve"> bör totalt inte överskrida </w:t>
      </w:r>
      <w:r w:rsidR="00F20733" w:rsidRPr="009A4537">
        <w:rPr>
          <w:szCs w:val="22"/>
          <w:lang w:val="sv-SE"/>
        </w:rPr>
        <w:t>24</w:t>
      </w:r>
      <w:r w:rsidR="00DC3296" w:rsidRPr="009A4537">
        <w:rPr>
          <w:szCs w:val="22"/>
          <w:lang w:val="sv-SE"/>
        </w:rPr>
        <w:t> </w:t>
      </w:r>
      <w:r w:rsidRPr="009A4537">
        <w:rPr>
          <w:szCs w:val="22"/>
          <w:lang w:val="sv-SE"/>
        </w:rPr>
        <w:t xml:space="preserve">månader (se </w:t>
      </w:r>
      <w:r w:rsidR="00DC3296" w:rsidRPr="009A4537">
        <w:rPr>
          <w:szCs w:val="22"/>
          <w:lang w:val="sv-SE"/>
        </w:rPr>
        <w:t>avsnitt </w:t>
      </w:r>
      <w:r w:rsidRPr="009A4537">
        <w:rPr>
          <w:szCs w:val="22"/>
          <w:lang w:val="sv-SE"/>
        </w:rPr>
        <w:t>4.4).</w:t>
      </w:r>
      <w:r w:rsidR="00853AEF" w:rsidRPr="009A4537">
        <w:rPr>
          <w:szCs w:val="22"/>
          <w:lang w:val="sv-SE"/>
        </w:rPr>
        <w:t xml:space="preserve"> Kuren med </w:t>
      </w:r>
      <w:r w:rsidR="00601775" w:rsidRPr="009A4537">
        <w:rPr>
          <w:szCs w:val="22"/>
          <w:lang w:val="sv-SE"/>
        </w:rPr>
        <w:t>24</w:t>
      </w:r>
      <w:r w:rsidR="00DC3296" w:rsidRPr="009A4537">
        <w:rPr>
          <w:szCs w:val="22"/>
          <w:lang w:val="sv-SE"/>
        </w:rPr>
        <w:t> </w:t>
      </w:r>
      <w:r w:rsidR="00853AEF" w:rsidRPr="009A4537">
        <w:rPr>
          <w:szCs w:val="22"/>
          <w:lang w:val="sv-SE"/>
        </w:rPr>
        <w:t>månaders behandling</w:t>
      </w:r>
      <w:r w:rsidR="00855A33" w:rsidRPr="009A4537">
        <w:rPr>
          <w:szCs w:val="22"/>
          <w:lang w:val="sv-SE"/>
        </w:rPr>
        <w:t xml:space="preserve"> </w:t>
      </w:r>
      <w:r w:rsidR="00F73DE8" w:rsidRPr="009A4537">
        <w:rPr>
          <w:szCs w:val="22"/>
          <w:lang w:val="sv-SE"/>
        </w:rPr>
        <w:t>ska</w:t>
      </w:r>
      <w:r w:rsidR="00855A33" w:rsidRPr="009A4537">
        <w:rPr>
          <w:szCs w:val="22"/>
          <w:lang w:val="sv-SE"/>
        </w:rPr>
        <w:t xml:space="preserve"> </w:t>
      </w:r>
      <w:r w:rsidR="00853AEF" w:rsidRPr="009A4537">
        <w:rPr>
          <w:szCs w:val="22"/>
          <w:lang w:val="sv-SE"/>
        </w:rPr>
        <w:t>inte upprepas senare under patientens levnadstid.</w:t>
      </w:r>
    </w:p>
    <w:p w14:paraId="2DC9E652" w14:textId="77777777" w:rsidR="00FD3E90" w:rsidRPr="009A4537" w:rsidRDefault="00FD3E90">
      <w:pPr>
        <w:suppressAutoHyphens/>
        <w:rPr>
          <w:szCs w:val="22"/>
          <w:lang w:val="sv-SE"/>
        </w:rPr>
      </w:pPr>
    </w:p>
    <w:p w14:paraId="35959C46" w14:textId="77777777" w:rsidR="00FD3E90" w:rsidRPr="009A4537" w:rsidRDefault="00FD3E90">
      <w:pPr>
        <w:suppressAutoHyphens/>
        <w:rPr>
          <w:szCs w:val="22"/>
          <w:lang w:val="sv-SE"/>
        </w:rPr>
      </w:pPr>
      <w:r w:rsidRPr="009A4537">
        <w:rPr>
          <w:szCs w:val="22"/>
          <w:lang w:val="sv-SE"/>
        </w:rPr>
        <w:lastRenderedPageBreak/>
        <w:t xml:space="preserve">Patienterna </w:t>
      </w:r>
      <w:r w:rsidR="00F73DE8" w:rsidRPr="009A4537">
        <w:rPr>
          <w:szCs w:val="22"/>
          <w:lang w:val="sv-SE"/>
        </w:rPr>
        <w:t>ska</w:t>
      </w:r>
      <w:r w:rsidRPr="009A4537">
        <w:rPr>
          <w:szCs w:val="22"/>
          <w:lang w:val="sv-SE"/>
        </w:rPr>
        <w:t xml:space="preserve"> erhålla tillägg av kalcium och D</w:t>
      </w:r>
      <w:r w:rsidR="00DC3296" w:rsidRPr="009A4537">
        <w:rPr>
          <w:szCs w:val="22"/>
          <w:lang w:val="sv-SE"/>
        </w:rPr>
        <w:noBreakHyphen/>
      </w:r>
      <w:r w:rsidRPr="009A4537">
        <w:rPr>
          <w:szCs w:val="22"/>
          <w:lang w:val="sv-SE"/>
        </w:rPr>
        <w:t>vitamin, om födointaget av dessa ämnen är otillräckligt.</w:t>
      </w:r>
    </w:p>
    <w:p w14:paraId="47990405" w14:textId="77777777" w:rsidR="00FD3E90" w:rsidRPr="009A4537" w:rsidRDefault="00FD3E90">
      <w:pPr>
        <w:suppressAutoHyphens/>
        <w:rPr>
          <w:szCs w:val="22"/>
          <w:lang w:val="sv-SE"/>
        </w:rPr>
      </w:pPr>
    </w:p>
    <w:p w14:paraId="543BFE72" w14:textId="77777777" w:rsidR="00FD3E90" w:rsidRPr="009A4537" w:rsidRDefault="00FD3E90">
      <w:pPr>
        <w:suppressAutoHyphens/>
        <w:rPr>
          <w:szCs w:val="22"/>
          <w:lang w:val="sv-SE"/>
        </w:rPr>
      </w:pPr>
      <w:r w:rsidRPr="009A4537">
        <w:rPr>
          <w:szCs w:val="22"/>
          <w:lang w:val="sv-SE"/>
        </w:rPr>
        <w:t xml:space="preserve">Efter avslutad behandling med </w:t>
      </w:r>
      <w:r w:rsidR="00BC0BD5" w:rsidRPr="009A4537">
        <w:rPr>
          <w:szCs w:val="22"/>
          <w:lang w:val="sv-SE"/>
        </w:rPr>
        <w:t>Sondelbay</w:t>
      </w:r>
      <w:r w:rsidRPr="009A4537">
        <w:rPr>
          <w:szCs w:val="22"/>
          <w:lang w:val="sv-SE"/>
        </w:rPr>
        <w:t xml:space="preserve"> kan fortsättning ske med annan osteoporosterapi.</w:t>
      </w:r>
    </w:p>
    <w:p w14:paraId="1C9D31F5" w14:textId="77777777" w:rsidR="00FD3E90" w:rsidRPr="009A4537" w:rsidRDefault="00FD3E90">
      <w:pPr>
        <w:suppressAutoHyphens/>
        <w:rPr>
          <w:szCs w:val="22"/>
          <w:lang w:val="sv-SE"/>
        </w:rPr>
      </w:pPr>
    </w:p>
    <w:p w14:paraId="559255F9" w14:textId="77777777" w:rsidR="00470F47" w:rsidRPr="009A4537" w:rsidRDefault="00470F47" w:rsidP="00BC14F8">
      <w:pPr>
        <w:keepNext/>
        <w:suppressAutoHyphens/>
        <w:rPr>
          <w:szCs w:val="22"/>
          <w:u w:val="single"/>
          <w:lang w:val="sv-SE"/>
        </w:rPr>
      </w:pPr>
      <w:r w:rsidRPr="009A4537">
        <w:rPr>
          <w:szCs w:val="22"/>
          <w:u w:val="single"/>
          <w:lang w:val="sv-SE"/>
        </w:rPr>
        <w:t>Särskilda patientgrupper</w:t>
      </w:r>
    </w:p>
    <w:p w14:paraId="69F926B8" w14:textId="77777777" w:rsidR="00521E78" w:rsidRPr="009A4537" w:rsidRDefault="00521E78" w:rsidP="00BC14F8">
      <w:pPr>
        <w:keepNext/>
        <w:suppressAutoHyphens/>
        <w:rPr>
          <w:szCs w:val="22"/>
          <w:u w:val="single"/>
          <w:lang w:val="sv-SE"/>
        </w:rPr>
      </w:pPr>
    </w:p>
    <w:p w14:paraId="164F44F3" w14:textId="77777777" w:rsidR="00DC3296" w:rsidRPr="009A4537" w:rsidRDefault="00DC3296" w:rsidP="00BC14F8">
      <w:pPr>
        <w:keepNext/>
        <w:suppressAutoHyphens/>
        <w:rPr>
          <w:i/>
          <w:szCs w:val="22"/>
          <w:lang w:val="sv-SE"/>
        </w:rPr>
      </w:pPr>
      <w:r w:rsidRPr="009A4537">
        <w:rPr>
          <w:i/>
          <w:szCs w:val="22"/>
          <w:lang w:val="sv-SE"/>
        </w:rPr>
        <w:t>Äldre</w:t>
      </w:r>
    </w:p>
    <w:p w14:paraId="7A14EB86" w14:textId="77777777" w:rsidR="00DC3296" w:rsidRPr="009A4537" w:rsidRDefault="00DC3296" w:rsidP="00BC14F8">
      <w:pPr>
        <w:keepNext/>
        <w:suppressAutoHyphens/>
        <w:rPr>
          <w:iCs/>
          <w:szCs w:val="22"/>
          <w:lang w:val="sv-SE"/>
        </w:rPr>
      </w:pPr>
      <w:r w:rsidRPr="009A4537">
        <w:rPr>
          <w:szCs w:val="22"/>
          <w:lang w:val="sv-SE"/>
        </w:rPr>
        <w:t>Dosjustering baserat på ålder erfordras ej</w:t>
      </w:r>
      <w:r w:rsidRPr="009A4537">
        <w:rPr>
          <w:iCs/>
          <w:szCs w:val="22"/>
          <w:lang w:val="sv-SE"/>
        </w:rPr>
        <w:t xml:space="preserve"> (se avsnitt 5.2).</w:t>
      </w:r>
    </w:p>
    <w:p w14:paraId="0F9C7E4D" w14:textId="77777777" w:rsidR="00DC3296" w:rsidRPr="009A4537" w:rsidRDefault="00DC3296" w:rsidP="00BC14F8">
      <w:pPr>
        <w:keepNext/>
        <w:suppressAutoHyphens/>
        <w:rPr>
          <w:iCs/>
          <w:szCs w:val="22"/>
          <w:lang w:val="sv-SE"/>
        </w:rPr>
      </w:pPr>
    </w:p>
    <w:p w14:paraId="01A604F3" w14:textId="77777777" w:rsidR="00470F47" w:rsidRPr="009A4537" w:rsidRDefault="00DC3296" w:rsidP="00BC14F8">
      <w:pPr>
        <w:keepNext/>
        <w:suppressAutoHyphens/>
        <w:rPr>
          <w:i/>
          <w:szCs w:val="22"/>
          <w:lang w:val="sv-SE"/>
        </w:rPr>
      </w:pPr>
      <w:r w:rsidRPr="009A4537">
        <w:rPr>
          <w:i/>
          <w:szCs w:val="22"/>
          <w:lang w:val="sv-SE"/>
        </w:rPr>
        <w:t>Nedsatt</w:t>
      </w:r>
      <w:r w:rsidR="00470F47" w:rsidRPr="009A4537">
        <w:rPr>
          <w:i/>
          <w:szCs w:val="22"/>
          <w:lang w:val="sv-SE"/>
        </w:rPr>
        <w:t xml:space="preserve"> njurfunktion</w:t>
      </w:r>
    </w:p>
    <w:p w14:paraId="5918A1DD" w14:textId="77777777" w:rsidR="00FD3E90" w:rsidRPr="009A4537" w:rsidRDefault="00BC0BD5" w:rsidP="00BC14F8">
      <w:pPr>
        <w:keepNext/>
        <w:suppressAutoHyphens/>
        <w:rPr>
          <w:szCs w:val="22"/>
          <w:lang w:val="sv-SE"/>
        </w:rPr>
      </w:pPr>
      <w:r w:rsidRPr="009A4537">
        <w:rPr>
          <w:szCs w:val="22"/>
          <w:lang w:val="sv-SE"/>
        </w:rPr>
        <w:t>Sondelbay</w:t>
      </w:r>
      <w:r w:rsidR="00FD3E90" w:rsidRPr="009A4537">
        <w:rPr>
          <w:szCs w:val="22"/>
          <w:lang w:val="sv-SE"/>
        </w:rPr>
        <w:t xml:space="preserve"> </w:t>
      </w:r>
      <w:r w:rsidR="00855A33" w:rsidRPr="009A4537">
        <w:rPr>
          <w:szCs w:val="22"/>
          <w:lang w:val="sv-SE"/>
        </w:rPr>
        <w:t>ska</w:t>
      </w:r>
      <w:r w:rsidR="00FD3E90" w:rsidRPr="009A4537">
        <w:rPr>
          <w:szCs w:val="22"/>
          <w:lang w:val="sv-SE"/>
        </w:rPr>
        <w:t xml:space="preserve"> inte användas av patienter med svårt nedsatt njurfunktion (se </w:t>
      </w:r>
      <w:r w:rsidR="00470F47" w:rsidRPr="009A4537">
        <w:rPr>
          <w:szCs w:val="22"/>
          <w:lang w:val="sv-SE"/>
        </w:rPr>
        <w:t>avsnitt</w:t>
      </w:r>
      <w:r w:rsidR="00DC3296" w:rsidRPr="009A4537">
        <w:rPr>
          <w:szCs w:val="22"/>
          <w:lang w:val="sv-SE"/>
        </w:rPr>
        <w:t> </w:t>
      </w:r>
      <w:r w:rsidR="00FD3E90" w:rsidRPr="009A4537">
        <w:rPr>
          <w:szCs w:val="22"/>
          <w:lang w:val="sv-SE"/>
        </w:rPr>
        <w:t xml:space="preserve">4.3). Administrering av </w:t>
      </w:r>
      <w:r w:rsidRPr="009A4537">
        <w:rPr>
          <w:szCs w:val="22"/>
          <w:lang w:val="sv-SE"/>
        </w:rPr>
        <w:t>Sondelbay</w:t>
      </w:r>
      <w:r w:rsidR="00FD3E90" w:rsidRPr="009A4537">
        <w:rPr>
          <w:szCs w:val="22"/>
          <w:lang w:val="sv-SE"/>
        </w:rPr>
        <w:t xml:space="preserve"> till patienter med måttligt nedsatt njurfunktion </w:t>
      </w:r>
      <w:r w:rsidR="00855A33" w:rsidRPr="009A4537">
        <w:rPr>
          <w:szCs w:val="22"/>
          <w:lang w:val="sv-SE"/>
        </w:rPr>
        <w:t>ska</w:t>
      </w:r>
      <w:r w:rsidR="00FD3E90" w:rsidRPr="009A4537">
        <w:rPr>
          <w:szCs w:val="22"/>
          <w:lang w:val="sv-SE"/>
        </w:rPr>
        <w:t xml:space="preserve"> ske med försiktighet.</w:t>
      </w:r>
      <w:r w:rsidR="00470F47" w:rsidRPr="009A4537">
        <w:rPr>
          <w:szCs w:val="22"/>
          <w:lang w:val="sv-SE"/>
        </w:rPr>
        <w:t xml:space="preserve"> Ingen speciell försiktighet krävs för patienter med lätt nedsatt njurfunktion.</w:t>
      </w:r>
    </w:p>
    <w:p w14:paraId="21066EFC" w14:textId="77777777" w:rsidR="00FD3E90" w:rsidRPr="009A4537" w:rsidRDefault="00FD3E90">
      <w:pPr>
        <w:suppressAutoHyphens/>
        <w:rPr>
          <w:szCs w:val="22"/>
          <w:lang w:val="sv-SE"/>
        </w:rPr>
      </w:pPr>
    </w:p>
    <w:p w14:paraId="0EDC745E" w14:textId="77777777" w:rsidR="00470F47" w:rsidRPr="009A4537" w:rsidRDefault="00DC3296">
      <w:pPr>
        <w:suppressAutoHyphens/>
        <w:rPr>
          <w:i/>
          <w:szCs w:val="22"/>
          <w:lang w:val="sv-SE"/>
        </w:rPr>
      </w:pPr>
      <w:r w:rsidRPr="009A4537">
        <w:rPr>
          <w:i/>
          <w:szCs w:val="22"/>
          <w:lang w:val="sv-SE"/>
        </w:rPr>
        <w:t xml:space="preserve">Nedsatt </w:t>
      </w:r>
      <w:r w:rsidR="00470F47" w:rsidRPr="009A4537">
        <w:rPr>
          <w:i/>
          <w:szCs w:val="22"/>
          <w:lang w:val="sv-SE"/>
        </w:rPr>
        <w:t>leverfunktion</w:t>
      </w:r>
    </w:p>
    <w:p w14:paraId="3A69042E" w14:textId="77777777" w:rsidR="00FD3E90" w:rsidRPr="009A4537" w:rsidRDefault="00FD3E90">
      <w:pPr>
        <w:suppressAutoHyphens/>
        <w:rPr>
          <w:szCs w:val="22"/>
          <w:lang w:val="sv-SE"/>
        </w:rPr>
      </w:pPr>
      <w:r w:rsidRPr="009A4537">
        <w:rPr>
          <w:szCs w:val="22"/>
          <w:lang w:val="sv-SE"/>
        </w:rPr>
        <w:t xml:space="preserve">Det finns inga uppgifter om användning av </w:t>
      </w:r>
      <w:r w:rsidR="00BC0BD5" w:rsidRPr="009A4537">
        <w:rPr>
          <w:szCs w:val="22"/>
          <w:lang w:val="sv-SE"/>
        </w:rPr>
        <w:t>Sondelbay</w:t>
      </w:r>
      <w:r w:rsidRPr="009A4537">
        <w:rPr>
          <w:szCs w:val="22"/>
          <w:lang w:val="sv-SE"/>
        </w:rPr>
        <w:t xml:space="preserve"> till patienter med </w:t>
      </w:r>
      <w:r w:rsidR="007A25BE" w:rsidRPr="009A4537">
        <w:rPr>
          <w:szCs w:val="22"/>
          <w:lang w:val="sv-SE"/>
        </w:rPr>
        <w:t>nedsatt</w:t>
      </w:r>
      <w:r w:rsidRPr="009A4537">
        <w:rPr>
          <w:szCs w:val="22"/>
          <w:lang w:val="sv-SE"/>
        </w:rPr>
        <w:t xml:space="preserve"> leverfunktion (se </w:t>
      </w:r>
      <w:r w:rsidR="00DC3296" w:rsidRPr="009A4537">
        <w:rPr>
          <w:szCs w:val="22"/>
          <w:lang w:val="sv-SE"/>
        </w:rPr>
        <w:t>avsnitt </w:t>
      </w:r>
      <w:r w:rsidRPr="009A4537">
        <w:rPr>
          <w:szCs w:val="22"/>
          <w:lang w:val="sv-SE"/>
        </w:rPr>
        <w:t>5.3).</w:t>
      </w:r>
      <w:r w:rsidR="00470F47" w:rsidRPr="009A4537">
        <w:rPr>
          <w:szCs w:val="22"/>
          <w:lang w:val="sv-SE"/>
        </w:rPr>
        <w:t xml:space="preserve"> Därför bör </w:t>
      </w:r>
      <w:r w:rsidR="00BC0BD5" w:rsidRPr="009A4537">
        <w:rPr>
          <w:szCs w:val="22"/>
          <w:lang w:val="sv-SE"/>
        </w:rPr>
        <w:t>Sondelbay</w:t>
      </w:r>
      <w:r w:rsidR="00470F47" w:rsidRPr="009A4537">
        <w:rPr>
          <w:szCs w:val="22"/>
          <w:lang w:val="sv-SE"/>
        </w:rPr>
        <w:t xml:space="preserve"> användas med försiktighet.</w:t>
      </w:r>
    </w:p>
    <w:p w14:paraId="69D21DDE" w14:textId="77777777" w:rsidR="00FD3E90" w:rsidRPr="009A4537" w:rsidRDefault="00FD3E90">
      <w:pPr>
        <w:suppressAutoHyphens/>
        <w:rPr>
          <w:szCs w:val="22"/>
          <w:lang w:val="sv-SE"/>
        </w:rPr>
      </w:pPr>
    </w:p>
    <w:p w14:paraId="3CD0C097" w14:textId="77777777" w:rsidR="0028362E" w:rsidRPr="009A4537" w:rsidRDefault="0028362E">
      <w:pPr>
        <w:suppressAutoHyphens/>
        <w:rPr>
          <w:i/>
          <w:szCs w:val="22"/>
          <w:lang w:val="sv-SE"/>
        </w:rPr>
      </w:pPr>
      <w:r w:rsidRPr="009A4537">
        <w:rPr>
          <w:i/>
          <w:szCs w:val="22"/>
          <w:lang w:val="sv-SE"/>
        </w:rPr>
        <w:t>Barn och ungdomar med öppna epifyser</w:t>
      </w:r>
    </w:p>
    <w:p w14:paraId="2F792CC2" w14:textId="77777777" w:rsidR="00FD3E90" w:rsidRPr="009A4537" w:rsidRDefault="00470F47">
      <w:pPr>
        <w:suppressAutoHyphens/>
        <w:rPr>
          <w:szCs w:val="22"/>
          <w:lang w:val="sv-SE"/>
        </w:rPr>
      </w:pPr>
      <w:r w:rsidRPr="009A4537">
        <w:rPr>
          <w:szCs w:val="22"/>
          <w:lang w:val="sv-SE"/>
        </w:rPr>
        <w:t xml:space="preserve">Säkerhet och effekt för </w:t>
      </w:r>
      <w:r w:rsidR="006D4D00" w:rsidRPr="009A4537">
        <w:rPr>
          <w:szCs w:val="22"/>
          <w:lang w:val="sv-SE"/>
        </w:rPr>
        <w:t>teriparatid</w:t>
      </w:r>
      <w:r w:rsidRPr="009A4537">
        <w:rPr>
          <w:szCs w:val="22"/>
          <w:lang w:val="sv-SE"/>
        </w:rPr>
        <w:t xml:space="preserve"> för barn </w:t>
      </w:r>
      <w:r w:rsidR="00233276" w:rsidRPr="009A4537">
        <w:rPr>
          <w:szCs w:val="22"/>
          <w:lang w:val="sv-SE"/>
        </w:rPr>
        <w:t>under 18</w:t>
      </w:r>
      <w:r w:rsidR="00DC3296" w:rsidRPr="009A4537">
        <w:rPr>
          <w:szCs w:val="22"/>
          <w:lang w:val="sv-SE"/>
        </w:rPr>
        <w:t> </w:t>
      </w:r>
      <w:r w:rsidR="00233276" w:rsidRPr="009A4537">
        <w:rPr>
          <w:szCs w:val="22"/>
          <w:lang w:val="sv-SE"/>
        </w:rPr>
        <w:t>år har inte fastställts.</w:t>
      </w:r>
      <w:r w:rsidR="00FD3E90" w:rsidRPr="009A4537">
        <w:rPr>
          <w:szCs w:val="22"/>
          <w:lang w:val="sv-SE"/>
        </w:rPr>
        <w:t xml:space="preserve"> </w:t>
      </w:r>
      <w:r w:rsidR="00BC0BD5" w:rsidRPr="009A4537">
        <w:rPr>
          <w:szCs w:val="22"/>
          <w:lang w:val="sv-SE"/>
        </w:rPr>
        <w:t>Sondelbay</w:t>
      </w:r>
      <w:r w:rsidR="00FD3E90" w:rsidRPr="009A4537">
        <w:rPr>
          <w:szCs w:val="22"/>
          <w:lang w:val="sv-SE"/>
        </w:rPr>
        <w:t xml:space="preserve"> </w:t>
      </w:r>
      <w:r w:rsidR="00F73DE8" w:rsidRPr="009A4537">
        <w:rPr>
          <w:szCs w:val="22"/>
          <w:lang w:val="sv-SE"/>
        </w:rPr>
        <w:t>ska</w:t>
      </w:r>
      <w:r w:rsidR="00FD3E90" w:rsidRPr="009A4537">
        <w:rPr>
          <w:szCs w:val="22"/>
          <w:lang w:val="sv-SE"/>
        </w:rPr>
        <w:t xml:space="preserve"> inte användas till barn </w:t>
      </w:r>
      <w:r w:rsidR="0028362E" w:rsidRPr="009A4537">
        <w:rPr>
          <w:szCs w:val="22"/>
          <w:lang w:val="sv-SE"/>
        </w:rPr>
        <w:t>(under 18</w:t>
      </w:r>
      <w:r w:rsidR="00DC3296" w:rsidRPr="009A4537">
        <w:rPr>
          <w:szCs w:val="22"/>
          <w:lang w:val="sv-SE"/>
        </w:rPr>
        <w:t> </w:t>
      </w:r>
      <w:r w:rsidR="0028362E" w:rsidRPr="009A4537">
        <w:rPr>
          <w:szCs w:val="22"/>
          <w:lang w:val="sv-SE"/>
        </w:rPr>
        <w:t xml:space="preserve">år) </w:t>
      </w:r>
      <w:r w:rsidR="00FD3E90" w:rsidRPr="009A4537">
        <w:rPr>
          <w:szCs w:val="22"/>
          <w:lang w:val="sv-SE"/>
        </w:rPr>
        <w:t>eller ungdomar med öppna epifyser.</w:t>
      </w:r>
    </w:p>
    <w:p w14:paraId="56B6E864" w14:textId="77777777" w:rsidR="00FD3E90" w:rsidRPr="009A4537" w:rsidRDefault="00FD3E90">
      <w:pPr>
        <w:suppressAutoHyphens/>
        <w:rPr>
          <w:szCs w:val="22"/>
          <w:lang w:val="sv-SE"/>
        </w:rPr>
      </w:pPr>
    </w:p>
    <w:p w14:paraId="41FE1CF8" w14:textId="77777777" w:rsidR="00233276" w:rsidRPr="009A4537" w:rsidRDefault="00233276">
      <w:pPr>
        <w:suppressAutoHyphens/>
        <w:rPr>
          <w:szCs w:val="22"/>
          <w:u w:val="single"/>
          <w:lang w:val="sv-SE"/>
        </w:rPr>
      </w:pPr>
      <w:r w:rsidRPr="009A4537">
        <w:rPr>
          <w:szCs w:val="22"/>
          <w:u w:val="single"/>
          <w:lang w:val="sv-SE"/>
        </w:rPr>
        <w:t>Administreringssätt</w:t>
      </w:r>
    </w:p>
    <w:p w14:paraId="4CAA2B5D" w14:textId="77777777" w:rsidR="00521E78" w:rsidRPr="009A4537" w:rsidRDefault="00521E78">
      <w:pPr>
        <w:suppressAutoHyphens/>
        <w:rPr>
          <w:szCs w:val="22"/>
          <w:u w:val="single"/>
          <w:lang w:val="sv-SE"/>
        </w:rPr>
      </w:pPr>
    </w:p>
    <w:p w14:paraId="374E5D63" w14:textId="77777777" w:rsidR="00470F47" w:rsidRPr="009A4537" w:rsidRDefault="00BC0BD5">
      <w:pPr>
        <w:suppressAutoHyphens/>
        <w:rPr>
          <w:szCs w:val="22"/>
          <w:lang w:val="sv-SE"/>
        </w:rPr>
      </w:pPr>
      <w:r w:rsidRPr="009A4537">
        <w:rPr>
          <w:szCs w:val="22"/>
          <w:lang w:val="sv-SE"/>
        </w:rPr>
        <w:t>Sondelbay</w:t>
      </w:r>
      <w:r w:rsidR="00233276" w:rsidRPr="009A4537">
        <w:rPr>
          <w:szCs w:val="22"/>
          <w:lang w:val="sv-SE"/>
        </w:rPr>
        <w:t xml:space="preserve"> ska administreras en gång dagligen genom en </w:t>
      </w:r>
      <w:r w:rsidR="00470F47" w:rsidRPr="009A4537">
        <w:rPr>
          <w:szCs w:val="22"/>
          <w:lang w:val="sv-SE"/>
        </w:rPr>
        <w:t>subkutan</w:t>
      </w:r>
      <w:r w:rsidR="00233276" w:rsidRPr="009A4537">
        <w:rPr>
          <w:szCs w:val="22"/>
          <w:lang w:val="sv-SE"/>
        </w:rPr>
        <w:t xml:space="preserve"> injektion </w:t>
      </w:r>
      <w:r w:rsidR="00470F47" w:rsidRPr="009A4537">
        <w:rPr>
          <w:szCs w:val="22"/>
          <w:lang w:val="sv-SE"/>
        </w:rPr>
        <w:t>i lår eller buk</w:t>
      </w:r>
      <w:r w:rsidR="00233276" w:rsidRPr="009A4537">
        <w:rPr>
          <w:szCs w:val="22"/>
          <w:lang w:val="sv-SE"/>
        </w:rPr>
        <w:t>.</w:t>
      </w:r>
    </w:p>
    <w:p w14:paraId="54616732" w14:textId="77777777" w:rsidR="00470F47" w:rsidRPr="009A4537" w:rsidRDefault="00470F47">
      <w:pPr>
        <w:suppressAutoHyphens/>
        <w:rPr>
          <w:szCs w:val="22"/>
          <w:lang w:val="sv-SE"/>
        </w:rPr>
      </w:pPr>
    </w:p>
    <w:p w14:paraId="37C0C6E6" w14:textId="77777777" w:rsidR="00470F47" w:rsidRPr="009A4537" w:rsidRDefault="00470F47" w:rsidP="00470F47">
      <w:pPr>
        <w:suppressAutoHyphens/>
        <w:rPr>
          <w:szCs w:val="22"/>
          <w:lang w:val="sv-SE"/>
        </w:rPr>
      </w:pPr>
      <w:r w:rsidRPr="009A4537">
        <w:rPr>
          <w:szCs w:val="22"/>
          <w:lang w:val="sv-SE"/>
        </w:rPr>
        <w:t>Patienterna måste utbildas i rätt injektionsteknik</w:t>
      </w:r>
      <w:r w:rsidR="00DC3296" w:rsidRPr="009A4537">
        <w:rPr>
          <w:szCs w:val="22"/>
          <w:lang w:val="sv-SE"/>
        </w:rPr>
        <w:t>. A</w:t>
      </w:r>
      <w:r w:rsidR="00D37D86" w:rsidRPr="009A4537">
        <w:rPr>
          <w:szCs w:val="22"/>
          <w:lang w:val="sv-SE"/>
        </w:rPr>
        <w:t>n</w:t>
      </w:r>
      <w:r w:rsidR="00DC3296" w:rsidRPr="009A4537">
        <w:rPr>
          <w:szCs w:val="22"/>
          <w:lang w:val="sv-SE"/>
        </w:rPr>
        <w:t>visningar om läkemedlet före administrering finns i</w:t>
      </w:r>
      <w:r w:rsidRPr="009A4537">
        <w:rPr>
          <w:szCs w:val="22"/>
          <w:lang w:val="sv-SE"/>
        </w:rPr>
        <w:t xml:space="preserve"> </w:t>
      </w:r>
      <w:r w:rsidR="00DC3296" w:rsidRPr="009A4537">
        <w:rPr>
          <w:szCs w:val="22"/>
          <w:lang w:val="sv-SE"/>
        </w:rPr>
        <w:t>avsnitt </w:t>
      </w:r>
      <w:r w:rsidRPr="009A4537">
        <w:rPr>
          <w:szCs w:val="22"/>
          <w:lang w:val="sv-SE"/>
        </w:rPr>
        <w:t xml:space="preserve">6.6. En </w:t>
      </w:r>
      <w:r w:rsidR="00DA0706" w:rsidRPr="009A4537">
        <w:rPr>
          <w:szCs w:val="22"/>
          <w:lang w:val="sv-SE"/>
        </w:rPr>
        <w:t>bruksanvisning</w:t>
      </w:r>
      <w:r w:rsidRPr="009A4537">
        <w:rPr>
          <w:szCs w:val="22"/>
          <w:lang w:val="sv-SE"/>
        </w:rPr>
        <w:t xml:space="preserve">, som beskriver rätt användning av </w:t>
      </w:r>
      <w:r w:rsidR="002D68A7" w:rsidRPr="009A4537">
        <w:rPr>
          <w:szCs w:val="22"/>
          <w:lang w:val="sv-SE"/>
        </w:rPr>
        <w:t>injektions</w:t>
      </w:r>
      <w:r w:rsidRPr="009A4537">
        <w:rPr>
          <w:szCs w:val="22"/>
          <w:lang w:val="sv-SE"/>
        </w:rPr>
        <w:t>pennan, finns att tillgå.</w:t>
      </w:r>
    </w:p>
    <w:p w14:paraId="799B484F" w14:textId="77777777" w:rsidR="00470F47" w:rsidRPr="009A4537" w:rsidRDefault="00470F47">
      <w:pPr>
        <w:suppressAutoHyphens/>
        <w:rPr>
          <w:szCs w:val="22"/>
          <w:lang w:val="sv-SE"/>
        </w:rPr>
      </w:pPr>
    </w:p>
    <w:p w14:paraId="5531E7F9" w14:textId="77777777" w:rsidR="00FD3E90" w:rsidRPr="009A4537" w:rsidRDefault="00FD3E90" w:rsidP="006908B4">
      <w:pPr>
        <w:keepNext/>
        <w:suppressAutoHyphens/>
        <w:ind w:left="567" w:hanging="567"/>
        <w:rPr>
          <w:szCs w:val="22"/>
          <w:lang w:val="sv-SE"/>
        </w:rPr>
      </w:pPr>
      <w:r w:rsidRPr="009A4537">
        <w:rPr>
          <w:b/>
          <w:szCs w:val="22"/>
          <w:lang w:val="sv-SE"/>
        </w:rPr>
        <w:t>4.3</w:t>
      </w:r>
      <w:r w:rsidRPr="009A4537">
        <w:rPr>
          <w:b/>
          <w:szCs w:val="22"/>
          <w:lang w:val="sv-SE"/>
        </w:rPr>
        <w:tab/>
        <w:t>Kontraindikationer</w:t>
      </w:r>
    </w:p>
    <w:p w14:paraId="769D1D3C" w14:textId="77777777" w:rsidR="00FD3E90" w:rsidRPr="009A4537" w:rsidRDefault="00FD3E90" w:rsidP="006908B4">
      <w:pPr>
        <w:keepNext/>
        <w:suppressAutoHyphens/>
        <w:rPr>
          <w:szCs w:val="22"/>
          <w:lang w:val="sv-SE"/>
        </w:rPr>
      </w:pPr>
    </w:p>
    <w:p w14:paraId="04778894" w14:textId="77777777" w:rsidR="00FD3E90" w:rsidRPr="009A4537" w:rsidRDefault="00FD3E90" w:rsidP="006A67C8">
      <w:pPr>
        <w:numPr>
          <w:ilvl w:val="0"/>
          <w:numId w:val="11"/>
        </w:numPr>
        <w:tabs>
          <w:tab w:val="clear" w:pos="360"/>
          <w:tab w:val="num" w:pos="567"/>
        </w:tabs>
        <w:ind w:left="567" w:right="-19" w:hanging="567"/>
        <w:rPr>
          <w:lang w:val="sv-SE"/>
        </w:rPr>
      </w:pPr>
      <w:r w:rsidRPr="009A4537">
        <w:rPr>
          <w:lang w:val="sv-SE"/>
        </w:rPr>
        <w:t>Överkänslighet mot den aktiva substansen eller mot något hjälpämne</w:t>
      </w:r>
      <w:r w:rsidR="0024328B" w:rsidRPr="009A4537">
        <w:rPr>
          <w:lang w:val="sv-SE"/>
        </w:rPr>
        <w:t xml:space="preserve"> som anges i avsnitt</w:t>
      </w:r>
      <w:r w:rsidR="007B7BA2" w:rsidRPr="009A4537">
        <w:rPr>
          <w:lang w:val="sv-SE"/>
        </w:rPr>
        <w:t> </w:t>
      </w:r>
      <w:r w:rsidR="0024328B" w:rsidRPr="009A4537">
        <w:rPr>
          <w:lang w:val="sv-SE"/>
        </w:rPr>
        <w:t>6.1</w:t>
      </w:r>
      <w:r w:rsidRPr="009A4537">
        <w:rPr>
          <w:lang w:val="sv-SE"/>
        </w:rPr>
        <w:t>.</w:t>
      </w:r>
    </w:p>
    <w:p w14:paraId="78BF39F4" w14:textId="77777777" w:rsidR="00351C59" w:rsidRPr="009A4537" w:rsidRDefault="00351C59" w:rsidP="006A67C8">
      <w:pPr>
        <w:numPr>
          <w:ilvl w:val="0"/>
          <w:numId w:val="11"/>
        </w:numPr>
        <w:tabs>
          <w:tab w:val="clear" w:pos="360"/>
          <w:tab w:val="num" w:pos="567"/>
        </w:tabs>
        <w:ind w:left="567" w:right="-19" w:hanging="567"/>
        <w:rPr>
          <w:lang w:val="sv-SE"/>
        </w:rPr>
      </w:pPr>
      <w:r w:rsidRPr="009A4537">
        <w:rPr>
          <w:lang w:val="sv-SE"/>
        </w:rPr>
        <w:t xml:space="preserve">Graviditet och amning (se </w:t>
      </w:r>
      <w:r w:rsidR="0024328B" w:rsidRPr="009A4537">
        <w:rPr>
          <w:lang w:val="sv-SE"/>
        </w:rPr>
        <w:t>avsnitt</w:t>
      </w:r>
      <w:r w:rsidR="007B7BA2" w:rsidRPr="009A4537">
        <w:rPr>
          <w:lang w:val="sv-SE"/>
        </w:rPr>
        <w:t> </w:t>
      </w:r>
      <w:r w:rsidRPr="009A4537">
        <w:rPr>
          <w:lang w:val="sv-SE"/>
        </w:rPr>
        <w:t>4.4 och 4.6)</w:t>
      </w:r>
    </w:p>
    <w:p w14:paraId="5B1F3B94" w14:textId="77777777" w:rsidR="00FD3E90" w:rsidRPr="0001477B" w:rsidRDefault="00FD3E90" w:rsidP="006A67C8">
      <w:pPr>
        <w:numPr>
          <w:ilvl w:val="0"/>
          <w:numId w:val="11"/>
        </w:numPr>
        <w:tabs>
          <w:tab w:val="clear" w:pos="360"/>
          <w:tab w:val="num" w:pos="567"/>
        </w:tabs>
        <w:ind w:left="567" w:right="-19" w:hanging="567"/>
        <w:rPr>
          <w:lang w:val="sv-SE"/>
        </w:rPr>
      </w:pPr>
      <w:r w:rsidRPr="0001477B">
        <w:rPr>
          <w:lang w:val="sv-SE"/>
        </w:rPr>
        <w:t>Hyperkalcemi</w:t>
      </w:r>
    </w:p>
    <w:p w14:paraId="583D7302" w14:textId="77777777" w:rsidR="00FD3E90" w:rsidRPr="0001477B" w:rsidRDefault="00FD3E90" w:rsidP="006A67C8">
      <w:pPr>
        <w:numPr>
          <w:ilvl w:val="0"/>
          <w:numId w:val="11"/>
        </w:numPr>
        <w:tabs>
          <w:tab w:val="clear" w:pos="360"/>
          <w:tab w:val="num" w:pos="567"/>
        </w:tabs>
        <w:ind w:left="567" w:right="-19" w:hanging="567"/>
        <w:rPr>
          <w:lang w:val="sv-SE"/>
        </w:rPr>
      </w:pPr>
      <w:r w:rsidRPr="0001477B">
        <w:rPr>
          <w:lang w:val="sv-SE"/>
        </w:rPr>
        <w:t>Allvarligt nedsatt njurfunktion</w:t>
      </w:r>
    </w:p>
    <w:p w14:paraId="4871F030" w14:textId="77777777" w:rsidR="00FD3E90" w:rsidRPr="009A4537" w:rsidRDefault="00FD3E90" w:rsidP="006A67C8">
      <w:pPr>
        <w:numPr>
          <w:ilvl w:val="0"/>
          <w:numId w:val="11"/>
        </w:numPr>
        <w:tabs>
          <w:tab w:val="clear" w:pos="360"/>
          <w:tab w:val="num" w:pos="567"/>
        </w:tabs>
        <w:ind w:left="567" w:right="-19" w:hanging="567"/>
        <w:rPr>
          <w:lang w:val="sv-SE"/>
        </w:rPr>
      </w:pPr>
      <w:r w:rsidRPr="009A4537">
        <w:rPr>
          <w:lang w:val="sv-SE"/>
        </w:rPr>
        <w:t xml:space="preserve">Andra metaboliska bensjukdomar </w:t>
      </w:r>
      <w:r w:rsidR="00973193" w:rsidRPr="009A4537">
        <w:rPr>
          <w:lang w:val="sv-SE"/>
        </w:rPr>
        <w:t>(inklusive hyperparatyr</w:t>
      </w:r>
      <w:r w:rsidR="006909E3" w:rsidRPr="009A4537">
        <w:rPr>
          <w:lang w:val="sv-SE"/>
        </w:rPr>
        <w:t>e</w:t>
      </w:r>
      <w:r w:rsidR="00973193" w:rsidRPr="009A4537">
        <w:rPr>
          <w:lang w:val="sv-SE"/>
        </w:rPr>
        <w:t xml:space="preserve">oidism och Pagets bensjukdom) </w:t>
      </w:r>
      <w:r w:rsidRPr="009A4537">
        <w:rPr>
          <w:lang w:val="sv-SE"/>
        </w:rPr>
        <w:t xml:space="preserve">än primär osteoporos </w:t>
      </w:r>
      <w:r w:rsidR="00EA1AED" w:rsidRPr="009A4537">
        <w:rPr>
          <w:lang w:val="sv-SE"/>
        </w:rPr>
        <w:t>eller glukokortikoidinducerad osteoporos</w:t>
      </w:r>
    </w:p>
    <w:p w14:paraId="561840D2" w14:textId="77777777" w:rsidR="00FD3E90" w:rsidRPr="0001477B" w:rsidRDefault="00FD3E90" w:rsidP="006A67C8">
      <w:pPr>
        <w:numPr>
          <w:ilvl w:val="0"/>
          <w:numId w:val="11"/>
        </w:numPr>
        <w:tabs>
          <w:tab w:val="clear" w:pos="360"/>
          <w:tab w:val="num" w:pos="567"/>
        </w:tabs>
        <w:ind w:left="567" w:right="-19" w:hanging="567"/>
        <w:rPr>
          <w:lang w:val="sv-SE"/>
        </w:rPr>
      </w:pPr>
      <w:r w:rsidRPr="0001477B">
        <w:rPr>
          <w:lang w:val="sv-SE"/>
        </w:rPr>
        <w:t>Oförklarad stegring av alkalisk</w:t>
      </w:r>
      <w:r w:rsidR="00A94599" w:rsidRPr="0001477B">
        <w:rPr>
          <w:lang w:val="sv-SE"/>
        </w:rPr>
        <w:t>t</w:t>
      </w:r>
      <w:r w:rsidRPr="0001477B">
        <w:rPr>
          <w:lang w:val="sv-SE"/>
        </w:rPr>
        <w:t xml:space="preserve"> fosfatas</w:t>
      </w:r>
    </w:p>
    <w:p w14:paraId="7B7B9AE4" w14:textId="77777777" w:rsidR="00FD3E90" w:rsidRPr="009A4537" w:rsidRDefault="00FD3E90" w:rsidP="006A67C8">
      <w:pPr>
        <w:numPr>
          <w:ilvl w:val="0"/>
          <w:numId w:val="11"/>
        </w:numPr>
        <w:tabs>
          <w:tab w:val="clear" w:pos="360"/>
          <w:tab w:val="num" w:pos="567"/>
        </w:tabs>
        <w:ind w:left="567" w:right="-19" w:hanging="567"/>
        <w:rPr>
          <w:lang w:val="sv-SE"/>
        </w:rPr>
      </w:pPr>
      <w:r w:rsidRPr="009A4537">
        <w:rPr>
          <w:lang w:val="sv-SE"/>
        </w:rPr>
        <w:t>Tidigare strålbehandling av skelettet (utvärtes eller genom implantat)</w:t>
      </w:r>
    </w:p>
    <w:p w14:paraId="4FF21E87" w14:textId="77777777" w:rsidR="00FD3E90" w:rsidRPr="009A4537" w:rsidRDefault="00FD3E90" w:rsidP="006A67C8">
      <w:pPr>
        <w:numPr>
          <w:ilvl w:val="0"/>
          <w:numId w:val="11"/>
        </w:numPr>
        <w:tabs>
          <w:tab w:val="clear" w:pos="360"/>
          <w:tab w:val="num" w:pos="567"/>
        </w:tabs>
        <w:ind w:left="567" w:right="-19" w:hanging="567"/>
        <w:rPr>
          <w:lang w:val="sv-SE"/>
        </w:rPr>
      </w:pPr>
      <w:r w:rsidRPr="009A4537">
        <w:rPr>
          <w:lang w:val="sv-SE"/>
        </w:rPr>
        <w:t xml:space="preserve">Patienter med skelettumörer eller skelettmetastaser </w:t>
      </w:r>
      <w:r w:rsidR="00F73DE8" w:rsidRPr="009A4537">
        <w:rPr>
          <w:lang w:val="sv-SE"/>
        </w:rPr>
        <w:t>ska</w:t>
      </w:r>
      <w:r w:rsidRPr="009A4537">
        <w:rPr>
          <w:lang w:val="sv-SE"/>
        </w:rPr>
        <w:t xml:space="preserve"> ej behandlas med teriparatid</w:t>
      </w:r>
    </w:p>
    <w:p w14:paraId="168A0B12" w14:textId="77777777" w:rsidR="00FD3E90" w:rsidRPr="009A4537" w:rsidRDefault="00FD3E90">
      <w:pPr>
        <w:suppressAutoHyphens/>
        <w:rPr>
          <w:szCs w:val="22"/>
          <w:lang w:val="sv-SE"/>
        </w:rPr>
      </w:pPr>
    </w:p>
    <w:p w14:paraId="48D765D7" w14:textId="77777777" w:rsidR="00FD3E90" w:rsidRPr="009A4537" w:rsidRDefault="00FD3E90">
      <w:pPr>
        <w:suppressAutoHyphens/>
        <w:ind w:left="567" w:hanging="567"/>
        <w:rPr>
          <w:szCs w:val="22"/>
          <w:lang w:val="sv-SE"/>
        </w:rPr>
      </w:pPr>
      <w:r w:rsidRPr="009A4537">
        <w:rPr>
          <w:b/>
          <w:szCs w:val="22"/>
          <w:lang w:val="sv-SE"/>
        </w:rPr>
        <w:t>4.4</w:t>
      </w:r>
      <w:r w:rsidRPr="009A4537">
        <w:rPr>
          <w:b/>
          <w:szCs w:val="22"/>
          <w:lang w:val="sv-SE"/>
        </w:rPr>
        <w:tab/>
        <w:t>Varningar och försiktighet</w:t>
      </w:r>
    </w:p>
    <w:p w14:paraId="0A6ABAB5" w14:textId="77777777" w:rsidR="00FD3E90" w:rsidRPr="009A4537" w:rsidRDefault="00FD3E90">
      <w:pPr>
        <w:suppressAutoHyphens/>
        <w:rPr>
          <w:szCs w:val="22"/>
          <w:lang w:val="sv-SE"/>
        </w:rPr>
      </w:pPr>
    </w:p>
    <w:p w14:paraId="3B895DD0" w14:textId="77777777" w:rsidR="00521E78" w:rsidRPr="009A4537" w:rsidRDefault="00521E78" w:rsidP="00521E78">
      <w:pPr>
        <w:autoSpaceDE w:val="0"/>
        <w:autoSpaceDN w:val="0"/>
        <w:adjustRightInd w:val="0"/>
        <w:rPr>
          <w:szCs w:val="22"/>
          <w:u w:val="single"/>
          <w:lang w:val="sv-SE"/>
        </w:rPr>
      </w:pPr>
      <w:r w:rsidRPr="009A4537">
        <w:rPr>
          <w:szCs w:val="22"/>
          <w:u w:val="single"/>
          <w:lang w:val="sv-SE"/>
        </w:rPr>
        <w:t>Spårbarhet</w:t>
      </w:r>
    </w:p>
    <w:p w14:paraId="1FE0C6E9" w14:textId="77777777" w:rsidR="00521E78" w:rsidRPr="009A4537" w:rsidRDefault="00521E78" w:rsidP="00521E78">
      <w:pPr>
        <w:autoSpaceDE w:val="0"/>
        <w:autoSpaceDN w:val="0"/>
        <w:adjustRightInd w:val="0"/>
        <w:rPr>
          <w:szCs w:val="22"/>
          <w:lang w:val="sv-SE"/>
        </w:rPr>
      </w:pPr>
    </w:p>
    <w:p w14:paraId="0D3BA407" w14:textId="77777777" w:rsidR="00521E78" w:rsidRPr="009A4537" w:rsidRDefault="00521E78" w:rsidP="00FB7CBC">
      <w:pPr>
        <w:autoSpaceDE w:val="0"/>
        <w:autoSpaceDN w:val="0"/>
        <w:adjustRightInd w:val="0"/>
        <w:rPr>
          <w:szCs w:val="22"/>
          <w:lang w:val="sv-SE"/>
        </w:rPr>
      </w:pPr>
      <w:r w:rsidRPr="009A4537">
        <w:rPr>
          <w:szCs w:val="22"/>
          <w:lang w:val="sv-SE"/>
        </w:rPr>
        <w:t>För att underlätta spårbarhet av biologiska läkemedel ska läkemedlets namn och</w:t>
      </w:r>
      <w:r w:rsidR="007B7BA2" w:rsidRPr="009A4537">
        <w:rPr>
          <w:szCs w:val="22"/>
          <w:lang w:val="sv-SE"/>
        </w:rPr>
        <w:t xml:space="preserve"> </w:t>
      </w:r>
      <w:r w:rsidRPr="009A4537">
        <w:rPr>
          <w:szCs w:val="22"/>
          <w:lang w:val="sv-SE"/>
        </w:rPr>
        <w:t>tillverkningssatsnummer dokumenteras.</w:t>
      </w:r>
    </w:p>
    <w:p w14:paraId="441049AE" w14:textId="77777777" w:rsidR="00521E78" w:rsidRPr="009A4537" w:rsidRDefault="00521E78">
      <w:pPr>
        <w:suppressAutoHyphens/>
        <w:rPr>
          <w:szCs w:val="22"/>
          <w:u w:val="single"/>
          <w:lang w:val="sv-SE"/>
        </w:rPr>
      </w:pPr>
    </w:p>
    <w:p w14:paraId="3FE76756" w14:textId="77777777" w:rsidR="0024328B" w:rsidRPr="009A4537" w:rsidRDefault="0024328B" w:rsidP="00FB7CBC">
      <w:pPr>
        <w:keepNext/>
        <w:suppressAutoHyphens/>
        <w:rPr>
          <w:szCs w:val="22"/>
          <w:u w:val="single"/>
          <w:lang w:val="sv-SE"/>
        </w:rPr>
      </w:pPr>
      <w:r w:rsidRPr="009A4537">
        <w:rPr>
          <w:szCs w:val="22"/>
          <w:u w:val="single"/>
          <w:lang w:val="sv-SE"/>
        </w:rPr>
        <w:t>Serum- och urinkalcium</w:t>
      </w:r>
    </w:p>
    <w:p w14:paraId="2B7420E4" w14:textId="77777777" w:rsidR="00521E78" w:rsidRPr="009A4537" w:rsidRDefault="00521E78" w:rsidP="00FB7CBC">
      <w:pPr>
        <w:keepNext/>
        <w:suppressAutoHyphens/>
        <w:rPr>
          <w:szCs w:val="22"/>
          <w:lang w:val="sv-SE"/>
        </w:rPr>
      </w:pPr>
    </w:p>
    <w:p w14:paraId="211E8BB8" w14:textId="77777777" w:rsidR="00FD3E90" w:rsidRPr="009A4537" w:rsidRDefault="00FD3E90" w:rsidP="00FB7CBC">
      <w:pPr>
        <w:keepNext/>
        <w:suppressAutoHyphens/>
        <w:rPr>
          <w:szCs w:val="22"/>
          <w:lang w:val="sv-SE"/>
        </w:rPr>
      </w:pPr>
      <w:r w:rsidRPr="009A4537">
        <w:rPr>
          <w:szCs w:val="22"/>
          <w:lang w:val="sv-SE"/>
        </w:rPr>
        <w:t>En liten, övergående förhöjning av serumkalcium har observerats hos normokalcemiska patienter efter injektion av teriparatid. Serumkalciumkoncentrationen når ett maximum 4 till 6</w:t>
      </w:r>
      <w:r w:rsidR="00F73DE8" w:rsidRPr="009A4537">
        <w:rPr>
          <w:szCs w:val="22"/>
          <w:lang w:val="sv-SE"/>
        </w:rPr>
        <w:t> timmar</w:t>
      </w:r>
      <w:r w:rsidRPr="009A4537">
        <w:rPr>
          <w:szCs w:val="22"/>
          <w:lang w:val="sv-SE"/>
        </w:rPr>
        <w:t xml:space="preserve"> efter en teriparatiddos och återgår till utgångsvärdet 16 till 24</w:t>
      </w:r>
      <w:r w:rsidR="00F73DE8" w:rsidRPr="009A4537">
        <w:rPr>
          <w:szCs w:val="22"/>
          <w:lang w:val="sv-SE"/>
        </w:rPr>
        <w:t> timmar</w:t>
      </w:r>
      <w:r w:rsidRPr="009A4537">
        <w:rPr>
          <w:szCs w:val="22"/>
          <w:lang w:val="sv-SE"/>
        </w:rPr>
        <w:t xml:space="preserve"> efter varje dos. </w:t>
      </w:r>
      <w:r w:rsidR="0024328B" w:rsidRPr="009A4537">
        <w:rPr>
          <w:szCs w:val="22"/>
          <w:lang w:val="sv-SE"/>
        </w:rPr>
        <w:t xml:space="preserve">Eventuell blodprovstagning </w:t>
      </w:r>
      <w:r w:rsidR="0024328B" w:rsidRPr="009A4537">
        <w:rPr>
          <w:szCs w:val="22"/>
          <w:lang w:val="sv-SE"/>
        </w:rPr>
        <w:lastRenderedPageBreak/>
        <w:t xml:space="preserve">ska därför göras tidigast 16 timmar efter senaste </w:t>
      </w:r>
      <w:r w:rsidR="007B7BA2" w:rsidRPr="009A4537">
        <w:rPr>
          <w:szCs w:val="22"/>
          <w:lang w:val="sv-SE"/>
        </w:rPr>
        <w:t>teriparatid</w:t>
      </w:r>
      <w:r w:rsidR="0024328B" w:rsidRPr="009A4537">
        <w:rPr>
          <w:szCs w:val="22"/>
          <w:lang w:val="sv-SE"/>
        </w:rPr>
        <w:t xml:space="preserve">injektion. </w:t>
      </w:r>
      <w:r w:rsidRPr="009A4537">
        <w:rPr>
          <w:szCs w:val="22"/>
          <w:lang w:val="sv-SE"/>
        </w:rPr>
        <w:t>Rutinkontroll av kalcium under behandlingen är inte nödvändig.</w:t>
      </w:r>
    </w:p>
    <w:p w14:paraId="2BE2D0DC" w14:textId="77777777" w:rsidR="00FD3E90" w:rsidRPr="009A4537" w:rsidRDefault="00FD3E90">
      <w:pPr>
        <w:suppressAutoHyphens/>
        <w:rPr>
          <w:szCs w:val="22"/>
          <w:lang w:val="sv-SE"/>
        </w:rPr>
      </w:pPr>
    </w:p>
    <w:p w14:paraId="3773588C" w14:textId="77777777" w:rsidR="00FD3E90" w:rsidRPr="009A4537" w:rsidRDefault="007B7BA2">
      <w:pPr>
        <w:suppressAutoHyphens/>
        <w:rPr>
          <w:szCs w:val="22"/>
          <w:lang w:val="sv-SE"/>
        </w:rPr>
      </w:pPr>
      <w:r w:rsidRPr="009A4537">
        <w:rPr>
          <w:szCs w:val="22"/>
          <w:lang w:val="sv-SE"/>
        </w:rPr>
        <w:t>Teriparatid</w:t>
      </w:r>
      <w:r w:rsidR="00FD3E90" w:rsidRPr="009A4537">
        <w:rPr>
          <w:szCs w:val="22"/>
          <w:lang w:val="sv-SE"/>
        </w:rPr>
        <w:t xml:space="preserve"> kan ge en liten ökning av urinutsöndringen av kalcium men förekomsten av hyperkalcuri skiljde sig ej från placebobehandlade patienter i de kliniska </w:t>
      </w:r>
      <w:r w:rsidR="002B1059" w:rsidRPr="009A4537">
        <w:rPr>
          <w:szCs w:val="22"/>
          <w:lang w:val="sv-SE"/>
        </w:rPr>
        <w:t>prövningarna</w:t>
      </w:r>
      <w:r w:rsidR="00FD3E90" w:rsidRPr="009A4537">
        <w:rPr>
          <w:szCs w:val="22"/>
          <w:lang w:val="sv-SE"/>
        </w:rPr>
        <w:t>.</w:t>
      </w:r>
    </w:p>
    <w:p w14:paraId="5F18B76B" w14:textId="77777777" w:rsidR="00FD3E90" w:rsidRPr="009A4537" w:rsidRDefault="00FD3E90">
      <w:pPr>
        <w:suppressAutoHyphens/>
        <w:rPr>
          <w:szCs w:val="22"/>
          <w:lang w:val="sv-SE"/>
        </w:rPr>
      </w:pPr>
    </w:p>
    <w:p w14:paraId="5241656D" w14:textId="77777777" w:rsidR="0024328B" w:rsidRPr="009A4537" w:rsidRDefault="0024328B">
      <w:pPr>
        <w:suppressAutoHyphens/>
        <w:rPr>
          <w:szCs w:val="22"/>
          <w:u w:val="single"/>
          <w:lang w:val="sv-SE"/>
        </w:rPr>
      </w:pPr>
      <w:r w:rsidRPr="009A4537">
        <w:rPr>
          <w:szCs w:val="22"/>
          <w:u w:val="single"/>
          <w:lang w:val="sv-SE"/>
        </w:rPr>
        <w:t>Urolitiasis</w:t>
      </w:r>
    </w:p>
    <w:p w14:paraId="31DCF378" w14:textId="77777777" w:rsidR="00521E78" w:rsidRPr="009A4537" w:rsidRDefault="00521E78">
      <w:pPr>
        <w:suppressAutoHyphens/>
        <w:rPr>
          <w:szCs w:val="22"/>
          <w:u w:val="single"/>
          <w:lang w:val="sv-SE"/>
        </w:rPr>
      </w:pPr>
    </w:p>
    <w:p w14:paraId="04751984" w14:textId="77777777" w:rsidR="00FD3E90" w:rsidRPr="009A4537" w:rsidRDefault="007B7BA2">
      <w:pPr>
        <w:suppressAutoHyphens/>
        <w:rPr>
          <w:szCs w:val="22"/>
          <w:lang w:val="sv-SE"/>
        </w:rPr>
      </w:pPr>
      <w:r w:rsidRPr="009A4537">
        <w:rPr>
          <w:szCs w:val="22"/>
          <w:lang w:val="sv-SE"/>
        </w:rPr>
        <w:t>Teriparatid</w:t>
      </w:r>
      <w:r w:rsidR="00FD3E90" w:rsidRPr="009A4537">
        <w:rPr>
          <w:szCs w:val="22"/>
          <w:lang w:val="sv-SE"/>
        </w:rPr>
        <w:t xml:space="preserve"> har inte getts till patienter med pågående urolitiasis. </w:t>
      </w:r>
      <w:r w:rsidR="00BC0BD5" w:rsidRPr="009A4537">
        <w:rPr>
          <w:szCs w:val="22"/>
          <w:lang w:val="sv-SE"/>
        </w:rPr>
        <w:t>Sondelbay</w:t>
      </w:r>
      <w:r w:rsidR="00FD3E90" w:rsidRPr="009A4537">
        <w:rPr>
          <w:szCs w:val="22"/>
          <w:lang w:val="sv-SE"/>
        </w:rPr>
        <w:t xml:space="preserve"> </w:t>
      </w:r>
      <w:r w:rsidR="00F73DE8" w:rsidRPr="009A4537">
        <w:rPr>
          <w:szCs w:val="22"/>
          <w:lang w:val="sv-SE"/>
        </w:rPr>
        <w:t>ska</w:t>
      </w:r>
      <w:r w:rsidR="00FD3E90" w:rsidRPr="009A4537">
        <w:rPr>
          <w:szCs w:val="22"/>
          <w:lang w:val="sv-SE"/>
        </w:rPr>
        <w:t xml:space="preserve"> användas med försiktighet till patienter med aktiv urolitiasis eller som nyligen haft detta, på grund av att tillståndet kan förvärras.</w:t>
      </w:r>
    </w:p>
    <w:p w14:paraId="1B60850B" w14:textId="77777777" w:rsidR="00FD3E90" w:rsidRPr="009A4537" w:rsidRDefault="00FD3E90">
      <w:pPr>
        <w:suppressAutoHyphens/>
        <w:rPr>
          <w:szCs w:val="22"/>
          <w:lang w:val="sv-SE"/>
        </w:rPr>
      </w:pPr>
    </w:p>
    <w:p w14:paraId="60DCB14A" w14:textId="77777777" w:rsidR="0024328B" w:rsidRPr="009A4537" w:rsidRDefault="0024328B">
      <w:pPr>
        <w:suppressAutoHyphens/>
        <w:rPr>
          <w:szCs w:val="22"/>
          <w:u w:val="single"/>
          <w:lang w:val="sv-SE"/>
        </w:rPr>
      </w:pPr>
      <w:r w:rsidRPr="009A4537">
        <w:rPr>
          <w:szCs w:val="22"/>
          <w:u w:val="single"/>
          <w:lang w:val="sv-SE"/>
        </w:rPr>
        <w:t>Ortostatisk hypotoni</w:t>
      </w:r>
    </w:p>
    <w:p w14:paraId="0D8A49DD" w14:textId="77777777" w:rsidR="00521E78" w:rsidRPr="009A4537" w:rsidRDefault="00521E78">
      <w:pPr>
        <w:suppressAutoHyphens/>
        <w:rPr>
          <w:szCs w:val="22"/>
          <w:u w:val="single"/>
          <w:lang w:val="sv-SE"/>
        </w:rPr>
      </w:pPr>
    </w:p>
    <w:p w14:paraId="0D405EEE" w14:textId="77777777" w:rsidR="00FD3E90" w:rsidRPr="009A4537" w:rsidRDefault="00FD3E90">
      <w:pPr>
        <w:suppressAutoHyphens/>
        <w:rPr>
          <w:szCs w:val="22"/>
          <w:lang w:val="sv-SE"/>
        </w:rPr>
      </w:pPr>
      <w:r w:rsidRPr="009A4537">
        <w:rPr>
          <w:szCs w:val="22"/>
          <w:lang w:val="sv-SE"/>
        </w:rPr>
        <w:t>I de kliniska korttids</w:t>
      </w:r>
      <w:r w:rsidR="007B7BA2" w:rsidRPr="009A4537">
        <w:rPr>
          <w:szCs w:val="22"/>
          <w:lang w:val="sv-SE"/>
        </w:rPr>
        <w:t>prövningarna</w:t>
      </w:r>
      <w:r w:rsidRPr="009A4537">
        <w:rPr>
          <w:szCs w:val="22"/>
          <w:lang w:val="sv-SE"/>
        </w:rPr>
        <w:t xml:space="preserve"> har enstaka episoder med övergående ortostatisk hypotoni observerats. I regel uppträder dessa inom 4</w:t>
      </w:r>
      <w:r w:rsidR="00F73DE8" w:rsidRPr="009A4537">
        <w:rPr>
          <w:szCs w:val="22"/>
          <w:lang w:val="sv-SE"/>
        </w:rPr>
        <w:t> timmar</w:t>
      </w:r>
      <w:r w:rsidRPr="009A4537">
        <w:rPr>
          <w:szCs w:val="22"/>
          <w:lang w:val="sv-SE"/>
        </w:rPr>
        <w:t xml:space="preserve"> efter administrering och försvinner spontant inom några minuter eller några timmar. De episoder av övergående ortostatisk hypotoni som förekommit har inträffat efter de första doserna och lindrades genom att patienten fick ligga ner. Det uteslöt inte fortsatt behandling.</w:t>
      </w:r>
    </w:p>
    <w:p w14:paraId="79869A69" w14:textId="77777777" w:rsidR="00FD3E90" w:rsidRPr="009A4537" w:rsidRDefault="00FD3E90">
      <w:pPr>
        <w:suppressAutoHyphens/>
        <w:rPr>
          <w:szCs w:val="22"/>
          <w:lang w:val="sv-SE"/>
        </w:rPr>
      </w:pPr>
    </w:p>
    <w:p w14:paraId="3BDEB910" w14:textId="77777777" w:rsidR="0024328B" w:rsidRPr="009A4537" w:rsidRDefault="0024328B" w:rsidP="00D40AA6">
      <w:pPr>
        <w:keepNext/>
        <w:suppressAutoHyphens/>
        <w:rPr>
          <w:szCs w:val="22"/>
          <w:u w:val="single"/>
          <w:lang w:val="sv-SE"/>
        </w:rPr>
      </w:pPr>
      <w:r w:rsidRPr="009A4537">
        <w:rPr>
          <w:szCs w:val="22"/>
          <w:u w:val="single"/>
          <w:lang w:val="sv-SE"/>
        </w:rPr>
        <w:t>Nedsatt njurfunktion</w:t>
      </w:r>
    </w:p>
    <w:p w14:paraId="6A6E6BA8" w14:textId="77777777" w:rsidR="00521E78" w:rsidRPr="009A4537" w:rsidRDefault="00521E78" w:rsidP="00D40AA6">
      <w:pPr>
        <w:keepNext/>
        <w:suppressAutoHyphens/>
        <w:rPr>
          <w:szCs w:val="22"/>
          <w:u w:val="single"/>
          <w:lang w:val="sv-SE"/>
        </w:rPr>
      </w:pPr>
    </w:p>
    <w:p w14:paraId="29250BDC" w14:textId="77777777" w:rsidR="00FD3E90" w:rsidRPr="009A4537" w:rsidRDefault="00FD3E90" w:rsidP="00D40AA6">
      <w:pPr>
        <w:keepNext/>
        <w:suppressAutoHyphens/>
        <w:rPr>
          <w:szCs w:val="22"/>
          <w:lang w:val="sv-SE"/>
        </w:rPr>
      </w:pPr>
      <w:r w:rsidRPr="009A4537">
        <w:rPr>
          <w:szCs w:val="22"/>
          <w:lang w:val="sv-SE"/>
        </w:rPr>
        <w:t xml:space="preserve">Försiktighet </w:t>
      </w:r>
      <w:r w:rsidR="00F73DE8" w:rsidRPr="009A4537">
        <w:rPr>
          <w:szCs w:val="22"/>
          <w:lang w:val="sv-SE"/>
        </w:rPr>
        <w:t>ska</w:t>
      </w:r>
      <w:r w:rsidRPr="009A4537">
        <w:rPr>
          <w:szCs w:val="22"/>
          <w:lang w:val="sv-SE"/>
        </w:rPr>
        <w:t xml:space="preserve"> iakttas vid behandling av patienter med måttligt nedsatt njurfunktion.</w:t>
      </w:r>
    </w:p>
    <w:p w14:paraId="0D44CC1E" w14:textId="77777777" w:rsidR="00FD3E90" w:rsidRPr="009A4537" w:rsidRDefault="00FD3E90">
      <w:pPr>
        <w:suppressAutoHyphens/>
        <w:rPr>
          <w:szCs w:val="22"/>
          <w:lang w:val="sv-SE"/>
        </w:rPr>
      </w:pPr>
    </w:p>
    <w:p w14:paraId="23576288" w14:textId="77777777" w:rsidR="0024328B" w:rsidRPr="009A4537" w:rsidRDefault="0024328B">
      <w:pPr>
        <w:suppressAutoHyphens/>
        <w:rPr>
          <w:szCs w:val="22"/>
          <w:u w:val="single"/>
          <w:lang w:val="sv-SE"/>
        </w:rPr>
      </w:pPr>
      <w:r w:rsidRPr="009A4537">
        <w:rPr>
          <w:szCs w:val="22"/>
          <w:u w:val="single"/>
          <w:lang w:val="sv-SE"/>
        </w:rPr>
        <w:t>Yngre vuxna</w:t>
      </w:r>
    </w:p>
    <w:p w14:paraId="6A6BC7C2" w14:textId="77777777" w:rsidR="00521E78" w:rsidRPr="009A4537" w:rsidRDefault="00521E78">
      <w:pPr>
        <w:suppressAutoHyphens/>
        <w:rPr>
          <w:szCs w:val="22"/>
          <w:u w:val="single"/>
          <w:lang w:val="sv-SE"/>
        </w:rPr>
      </w:pPr>
    </w:p>
    <w:p w14:paraId="43DB3AD6" w14:textId="77777777" w:rsidR="00FE4095" w:rsidRPr="009A4537" w:rsidRDefault="00FE4095">
      <w:pPr>
        <w:suppressAutoHyphens/>
        <w:rPr>
          <w:szCs w:val="22"/>
          <w:lang w:val="sv-SE"/>
        </w:rPr>
      </w:pPr>
      <w:r w:rsidRPr="009A4537">
        <w:rPr>
          <w:szCs w:val="22"/>
          <w:lang w:val="sv-SE"/>
        </w:rPr>
        <w:t>Erfarenhet av behandling av yngre vuxna</w:t>
      </w:r>
      <w:r w:rsidR="007B7BA2" w:rsidRPr="009A4537">
        <w:rPr>
          <w:szCs w:val="22"/>
          <w:lang w:val="sv-SE"/>
        </w:rPr>
        <w:t xml:space="preserve"> (&gt; 18 till 29 år)</w:t>
      </w:r>
      <w:r w:rsidRPr="009A4537">
        <w:rPr>
          <w:szCs w:val="22"/>
          <w:lang w:val="sv-SE"/>
        </w:rPr>
        <w:t xml:space="preserve">, inkluderande kvinnor i premenopausal ålder, är begränsad (se </w:t>
      </w:r>
      <w:r w:rsidR="007B7BA2" w:rsidRPr="009A4537">
        <w:rPr>
          <w:szCs w:val="22"/>
          <w:lang w:val="sv-SE"/>
        </w:rPr>
        <w:t>avsnitt </w:t>
      </w:r>
      <w:r w:rsidRPr="009A4537">
        <w:rPr>
          <w:szCs w:val="22"/>
          <w:lang w:val="sv-SE"/>
        </w:rPr>
        <w:t>5.1).</w:t>
      </w:r>
      <w:r w:rsidR="00E6062D" w:rsidRPr="009A4537">
        <w:rPr>
          <w:szCs w:val="22"/>
          <w:lang w:val="sv-SE"/>
        </w:rPr>
        <w:t xml:space="preserve"> Behandling av denna grupp bör endast initieras om fördelarna klart överväger riskerna.</w:t>
      </w:r>
      <w:r w:rsidR="00F73DE8" w:rsidRPr="009A4537">
        <w:rPr>
          <w:szCs w:val="22"/>
          <w:lang w:val="sv-SE"/>
        </w:rPr>
        <w:t xml:space="preserve"> </w:t>
      </w:r>
    </w:p>
    <w:p w14:paraId="4C6D0A05" w14:textId="77777777" w:rsidR="00E6062D" w:rsidRPr="009A4537" w:rsidRDefault="00E6062D">
      <w:pPr>
        <w:suppressAutoHyphens/>
        <w:rPr>
          <w:szCs w:val="22"/>
          <w:lang w:val="sv-SE"/>
        </w:rPr>
      </w:pPr>
    </w:p>
    <w:p w14:paraId="0E263956" w14:textId="77777777" w:rsidR="00E6062D" w:rsidRPr="009A4537" w:rsidRDefault="00E6062D">
      <w:pPr>
        <w:suppressAutoHyphens/>
        <w:rPr>
          <w:szCs w:val="22"/>
          <w:lang w:val="sv-SE"/>
        </w:rPr>
      </w:pPr>
      <w:r w:rsidRPr="009A4537">
        <w:rPr>
          <w:szCs w:val="22"/>
          <w:lang w:val="sv-SE"/>
        </w:rPr>
        <w:t xml:space="preserve">Fertila kvinnor bör använda en säker antikonceptionsmetod under behandling med </w:t>
      </w:r>
      <w:r w:rsidR="007B7BA2" w:rsidRPr="009A4537">
        <w:rPr>
          <w:szCs w:val="22"/>
          <w:lang w:val="sv-SE"/>
        </w:rPr>
        <w:t>teriparatid</w:t>
      </w:r>
      <w:r w:rsidRPr="009A4537">
        <w:rPr>
          <w:szCs w:val="22"/>
          <w:lang w:val="sv-SE"/>
        </w:rPr>
        <w:t xml:space="preserve">. Om graviditet inträffar, bör behandlingen med </w:t>
      </w:r>
      <w:r w:rsidR="00BC0BD5" w:rsidRPr="009A4537">
        <w:rPr>
          <w:szCs w:val="22"/>
          <w:lang w:val="sv-SE"/>
        </w:rPr>
        <w:t>Sondelbay</w:t>
      </w:r>
      <w:r w:rsidRPr="009A4537">
        <w:rPr>
          <w:szCs w:val="22"/>
          <w:lang w:val="sv-SE"/>
        </w:rPr>
        <w:t xml:space="preserve"> avslutas.</w:t>
      </w:r>
    </w:p>
    <w:p w14:paraId="6B7251B6" w14:textId="77777777" w:rsidR="00FE4095" w:rsidRPr="009A4537" w:rsidRDefault="00FE4095">
      <w:pPr>
        <w:suppressAutoHyphens/>
        <w:rPr>
          <w:szCs w:val="22"/>
          <w:lang w:val="sv-SE"/>
        </w:rPr>
      </w:pPr>
    </w:p>
    <w:p w14:paraId="1BB5992C" w14:textId="77777777" w:rsidR="0024328B" w:rsidRPr="009A4537" w:rsidRDefault="0024328B">
      <w:pPr>
        <w:suppressAutoHyphens/>
        <w:rPr>
          <w:szCs w:val="22"/>
          <w:u w:val="single"/>
          <w:lang w:val="sv-SE"/>
        </w:rPr>
      </w:pPr>
      <w:r w:rsidRPr="009A4537">
        <w:rPr>
          <w:szCs w:val="22"/>
          <w:u w:val="single"/>
          <w:lang w:val="sv-SE"/>
        </w:rPr>
        <w:t>Behandlingstid</w:t>
      </w:r>
    </w:p>
    <w:p w14:paraId="20C1EFBF" w14:textId="77777777" w:rsidR="00521E78" w:rsidRPr="009A4537" w:rsidRDefault="00521E78">
      <w:pPr>
        <w:suppressAutoHyphens/>
        <w:rPr>
          <w:szCs w:val="22"/>
          <w:u w:val="single"/>
          <w:lang w:val="sv-SE"/>
        </w:rPr>
      </w:pPr>
    </w:p>
    <w:p w14:paraId="4B174628" w14:textId="77777777" w:rsidR="00FD3E90" w:rsidRPr="009A4537" w:rsidRDefault="00FD3E90">
      <w:pPr>
        <w:suppressAutoHyphens/>
        <w:rPr>
          <w:szCs w:val="22"/>
          <w:lang w:val="sv-SE"/>
        </w:rPr>
      </w:pPr>
      <w:r w:rsidRPr="009A4537">
        <w:rPr>
          <w:szCs w:val="22"/>
          <w:lang w:val="sv-SE"/>
        </w:rPr>
        <w:t xml:space="preserve">Studier på råtta tyder på ökad förekomst av osteosarkom vid långtidsbehandling med teriparatid (se </w:t>
      </w:r>
      <w:r w:rsidR="007B7BA2" w:rsidRPr="009A4537">
        <w:rPr>
          <w:szCs w:val="22"/>
          <w:lang w:val="sv-SE"/>
        </w:rPr>
        <w:t>avsnitt </w:t>
      </w:r>
      <w:r w:rsidRPr="009A4537">
        <w:rPr>
          <w:szCs w:val="22"/>
          <w:lang w:val="sv-SE"/>
        </w:rPr>
        <w:t xml:space="preserve">5.3). Tills ytterligare kliniska data föreligger </w:t>
      </w:r>
      <w:r w:rsidR="00F73DE8" w:rsidRPr="009A4537">
        <w:rPr>
          <w:szCs w:val="22"/>
          <w:lang w:val="sv-SE"/>
        </w:rPr>
        <w:t>ska</w:t>
      </w:r>
      <w:r w:rsidRPr="009A4537">
        <w:rPr>
          <w:szCs w:val="22"/>
          <w:lang w:val="sv-SE"/>
        </w:rPr>
        <w:t xml:space="preserve"> den rekommenderade behandlingstiden på </w:t>
      </w:r>
      <w:r w:rsidR="007818D5" w:rsidRPr="009A4537">
        <w:rPr>
          <w:szCs w:val="22"/>
          <w:lang w:val="sv-SE"/>
        </w:rPr>
        <w:t>24</w:t>
      </w:r>
      <w:r w:rsidR="00811B17" w:rsidRPr="009A4537">
        <w:rPr>
          <w:szCs w:val="22"/>
          <w:lang w:val="sv-SE"/>
        </w:rPr>
        <w:t> </w:t>
      </w:r>
      <w:r w:rsidRPr="009A4537">
        <w:rPr>
          <w:szCs w:val="22"/>
          <w:lang w:val="sv-SE"/>
        </w:rPr>
        <w:t>månader inte överskridas.</w:t>
      </w:r>
    </w:p>
    <w:p w14:paraId="56EB4937" w14:textId="77777777" w:rsidR="00FD3E90" w:rsidRPr="009A4537" w:rsidRDefault="00FD3E90">
      <w:pPr>
        <w:suppressAutoHyphens/>
        <w:rPr>
          <w:szCs w:val="22"/>
          <w:lang w:val="sv-SE"/>
        </w:rPr>
      </w:pPr>
    </w:p>
    <w:p w14:paraId="1B64B746" w14:textId="77777777" w:rsidR="00521E78" w:rsidRPr="009A4537" w:rsidRDefault="007B7BA2">
      <w:pPr>
        <w:suppressAutoHyphens/>
        <w:rPr>
          <w:szCs w:val="22"/>
          <w:u w:val="single"/>
          <w:lang w:val="sv-SE"/>
        </w:rPr>
      </w:pPr>
      <w:r w:rsidRPr="009A4537">
        <w:rPr>
          <w:szCs w:val="22"/>
          <w:u w:val="single"/>
          <w:lang w:val="sv-SE"/>
        </w:rPr>
        <w:t>Hjälpämne</w:t>
      </w:r>
    </w:p>
    <w:p w14:paraId="01D7A850" w14:textId="77777777" w:rsidR="00A30B5E" w:rsidRPr="009A4537" w:rsidRDefault="00A30B5E">
      <w:pPr>
        <w:suppressAutoHyphens/>
        <w:rPr>
          <w:szCs w:val="22"/>
          <w:u w:val="single"/>
          <w:lang w:val="sv-SE"/>
        </w:rPr>
      </w:pPr>
    </w:p>
    <w:p w14:paraId="4960BB29" w14:textId="77777777" w:rsidR="00521E78" w:rsidRPr="009A4537" w:rsidRDefault="00521E78">
      <w:pPr>
        <w:suppressAutoHyphens/>
        <w:rPr>
          <w:szCs w:val="22"/>
          <w:lang w:val="sv-SE"/>
        </w:rPr>
      </w:pPr>
      <w:r w:rsidRPr="009A4537">
        <w:rPr>
          <w:szCs w:val="22"/>
          <w:lang w:val="sv-SE"/>
        </w:rPr>
        <w:t>Detta läkemedel innehåller mindre än 1</w:t>
      </w:r>
      <w:r w:rsidR="00D6559B" w:rsidRPr="009A4537">
        <w:rPr>
          <w:szCs w:val="22"/>
          <w:lang w:val="sv-SE"/>
        </w:rPr>
        <w:t> </w:t>
      </w:r>
      <w:r w:rsidRPr="009A4537">
        <w:rPr>
          <w:szCs w:val="22"/>
          <w:lang w:val="sv-SE"/>
        </w:rPr>
        <w:t>mmol (23</w:t>
      </w:r>
      <w:r w:rsidR="00D6559B" w:rsidRPr="009A4537">
        <w:rPr>
          <w:szCs w:val="22"/>
          <w:lang w:val="sv-SE"/>
        </w:rPr>
        <w:t> </w:t>
      </w:r>
      <w:r w:rsidRPr="009A4537">
        <w:rPr>
          <w:szCs w:val="22"/>
          <w:lang w:val="sv-SE"/>
        </w:rPr>
        <w:t>mg) natrium per dos</w:t>
      </w:r>
      <w:r w:rsidR="00D6559B" w:rsidRPr="009A4537">
        <w:rPr>
          <w:szCs w:val="22"/>
          <w:lang w:val="sv-SE"/>
        </w:rPr>
        <w:t>enhet</w:t>
      </w:r>
      <w:r w:rsidRPr="009A4537">
        <w:rPr>
          <w:szCs w:val="22"/>
          <w:lang w:val="sv-SE"/>
        </w:rPr>
        <w:t xml:space="preserve">, d.v.s. är näst intill </w:t>
      </w:r>
      <w:r w:rsidR="00811B17" w:rsidRPr="009A4537">
        <w:rPr>
          <w:szCs w:val="22"/>
          <w:lang w:val="sv-SE"/>
        </w:rPr>
        <w:t>”</w:t>
      </w:r>
      <w:r w:rsidRPr="009A4537">
        <w:rPr>
          <w:szCs w:val="22"/>
          <w:lang w:val="sv-SE"/>
        </w:rPr>
        <w:t>natriumfritt”.</w:t>
      </w:r>
    </w:p>
    <w:p w14:paraId="1EF8F348" w14:textId="77777777" w:rsidR="00521E78" w:rsidRPr="009A4537" w:rsidRDefault="00521E78">
      <w:pPr>
        <w:suppressAutoHyphens/>
        <w:rPr>
          <w:szCs w:val="22"/>
          <w:lang w:val="sv-SE"/>
        </w:rPr>
      </w:pPr>
    </w:p>
    <w:p w14:paraId="4F99E467" w14:textId="77777777" w:rsidR="00FD3E90" w:rsidRPr="009A4537" w:rsidRDefault="00FD3E90" w:rsidP="006908B4">
      <w:pPr>
        <w:keepNext/>
        <w:suppressAutoHyphens/>
        <w:ind w:left="567" w:hanging="567"/>
        <w:rPr>
          <w:szCs w:val="22"/>
          <w:lang w:val="sv-SE"/>
        </w:rPr>
      </w:pPr>
      <w:r w:rsidRPr="009A4537">
        <w:rPr>
          <w:b/>
          <w:szCs w:val="22"/>
          <w:lang w:val="sv-SE"/>
        </w:rPr>
        <w:t>4.5</w:t>
      </w:r>
      <w:r w:rsidRPr="009A4537">
        <w:rPr>
          <w:b/>
          <w:szCs w:val="22"/>
          <w:lang w:val="sv-SE"/>
        </w:rPr>
        <w:tab/>
        <w:t>Interaktioner med andra läkemedel och övriga interaktioner</w:t>
      </w:r>
    </w:p>
    <w:p w14:paraId="5DDC15B0" w14:textId="77777777" w:rsidR="00FD3E90" w:rsidRPr="009A4537" w:rsidRDefault="00FD3E90" w:rsidP="006908B4">
      <w:pPr>
        <w:keepNext/>
        <w:suppressAutoHyphens/>
        <w:rPr>
          <w:szCs w:val="22"/>
          <w:lang w:val="sv-SE"/>
        </w:rPr>
      </w:pPr>
    </w:p>
    <w:p w14:paraId="5F38EBB5" w14:textId="77777777" w:rsidR="00106FBA" w:rsidRPr="009A4537" w:rsidRDefault="00106FBA" w:rsidP="00106FBA">
      <w:pPr>
        <w:suppressAutoHyphens/>
        <w:rPr>
          <w:szCs w:val="22"/>
          <w:lang w:val="sv-SE"/>
        </w:rPr>
      </w:pPr>
      <w:r w:rsidRPr="009A4537">
        <w:rPr>
          <w:szCs w:val="22"/>
          <w:lang w:val="sv-SE"/>
        </w:rPr>
        <w:t>I en studie på 15</w:t>
      </w:r>
      <w:r w:rsidR="00D6559B" w:rsidRPr="009A4537">
        <w:rPr>
          <w:szCs w:val="22"/>
          <w:lang w:val="sv-SE"/>
        </w:rPr>
        <w:t> </w:t>
      </w:r>
      <w:r w:rsidRPr="009A4537">
        <w:rPr>
          <w:szCs w:val="22"/>
          <w:lang w:val="sv-SE"/>
        </w:rPr>
        <w:t>friska försökspersoner, som fick digoxin dagligen till ”steady</w:t>
      </w:r>
      <w:r w:rsidR="00811B17" w:rsidRPr="009A4537">
        <w:rPr>
          <w:szCs w:val="22"/>
          <w:lang w:val="sv-SE"/>
        </w:rPr>
        <w:noBreakHyphen/>
      </w:r>
      <w:r w:rsidRPr="009A4537">
        <w:rPr>
          <w:szCs w:val="22"/>
          <w:lang w:val="sv-SE"/>
        </w:rPr>
        <w:t xml:space="preserve">state”, förändrades inte digoxins effekt på hjärtat av en enstaka </w:t>
      </w:r>
      <w:r w:rsidR="00D6559B" w:rsidRPr="009A4537">
        <w:rPr>
          <w:szCs w:val="22"/>
          <w:lang w:val="sv-SE"/>
        </w:rPr>
        <w:t>teriparatid</w:t>
      </w:r>
      <w:r w:rsidRPr="009A4537">
        <w:rPr>
          <w:szCs w:val="22"/>
          <w:lang w:val="sv-SE"/>
        </w:rPr>
        <w:t xml:space="preserve">dos. Enstaka fallrapporter har dock antytt att hyperkalcemi kan predisponera patienter för digitalistoxicitet. Eftersom </w:t>
      </w:r>
      <w:r w:rsidR="00D6559B" w:rsidRPr="009A4537">
        <w:rPr>
          <w:szCs w:val="22"/>
          <w:lang w:val="sv-SE"/>
        </w:rPr>
        <w:t>teriparatid</w:t>
      </w:r>
      <w:r w:rsidRPr="009A4537">
        <w:rPr>
          <w:szCs w:val="22"/>
          <w:lang w:val="sv-SE"/>
        </w:rPr>
        <w:t xml:space="preserve"> ger en övergående ökning av serumkalcium ska </w:t>
      </w:r>
      <w:r w:rsidR="00D6559B" w:rsidRPr="009A4537">
        <w:rPr>
          <w:szCs w:val="22"/>
          <w:lang w:val="sv-SE"/>
        </w:rPr>
        <w:t>teriparatid</w:t>
      </w:r>
      <w:r w:rsidRPr="009A4537">
        <w:rPr>
          <w:szCs w:val="22"/>
          <w:lang w:val="sv-SE"/>
        </w:rPr>
        <w:t xml:space="preserve"> användas med försiktighet till patienter som får digitalis.</w:t>
      </w:r>
    </w:p>
    <w:p w14:paraId="25B778BD" w14:textId="77777777" w:rsidR="00106FBA" w:rsidRPr="009A4537" w:rsidRDefault="00106FBA" w:rsidP="006908B4">
      <w:pPr>
        <w:keepNext/>
        <w:suppressAutoHyphens/>
        <w:rPr>
          <w:szCs w:val="22"/>
          <w:lang w:val="sv-SE"/>
        </w:rPr>
      </w:pPr>
    </w:p>
    <w:p w14:paraId="0A9FB96A" w14:textId="77777777" w:rsidR="00FD3E90" w:rsidRPr="009A4537" w:rsidRDefault="00FD3E90" w:rsidP="006908B4">
      <w:pPr>
        <w:keepNext/>
        <w:suppressAutoHyphens/>
        <w:rPr>
          <w:szCs w:val="22"/>
          <w:lang w:val="sv-SE"/>
        </w:rPr>
      </w:pPr>
      <w:r w:rsidRPr="009A4537">
        <w:rPr>
          <w:szCs w:val="22"/>
          <w:lang w:val="sv-SE"/>
        </w:rPr>
        <w:t xml:space="preserve">Farmakodynamiska interaktionsstudier med </w:t>
      </w:r>
      <w:r w:rsidR="00F24277" w:rsidRPr="009A4537">
        <w:rPr>
          <w:szCs w:val="22"/>
          <w:lang w:val="sv-SE"/>
        </w:rPr>
        <w:t>teriparatid</w:t>
      </w:r>
      <w:r w:rsidRPr="009A4537">
        <w:rPr>
          <w:szCs w:val="22"/>
          <w:lang w:val="sv-SE"/>
        </w:rPr>
        <w:t xml:space="preserve"> har utförts med hydroklorotiazid. Inga kliniskt betydelsefulla interaktioner observerades.</w:t>
      </w:r>
    </w:p>
    <w:p w14:paraId="2C98C750" w14:textId="77777777" w:rsidR="00FD3E90" w:rsidRPr="009A4537" w:rsidRDefault="00FD3E90">
      <w:pPr>
        <w:suppressAutoHyphens/>
        <w:rPr>
          <w:szCs w:val="22"/>
          <w:lang w:val="sv-SE"/>
        </w:rPr>
      </w:pPr>
    </w:p>
    <w:p w14:paraId="7C231D8D" w14:textId="77777777" w:rsidR="00FD3E90" w:rsidRPr="009A4537" w:rsidRDefault="00FD3E90">
      <w:pPr>
        <w:suppressAutoHyphens/>
        <w:rPr>
          <w:szCs w:val="22"/>
          <w:lang w:val="sv-SE"/>
        </w:rPr>
      </w:pPr>
      <w:r w:rsidRPr="009A4537">
        <w:rPr>
          <w:szCs w:val="22"/>
          <w:lang w:val="sv-SE"/>
        </w:rPr>
        <w:lastRenderedPageBreak/>
        <w:t xml:space="preserve">Samtidigt intag av raloxifen eller hormonersättningspreparat och </w:t>
      </w:r>
      <w:r w:rsidR="00D6559B" w:rsidRPr="009A4537">
        <w:rPr>
          <w:szCs w:val="22"/>
          <w:lang w:val="sv-SE"/>
        </w:rPr>
        <w:t>teriparatid</w:t>
      </w:r>
      <w:r w:rsidRPr="009A4537">
        <w:rPr>
          <w:szCs w:val="22"/>
          <w:lang w:val="sv-SE"/>
        </w:rPr>
        <w:t xml:space="preserve"> förändrade inte </w:t>
      </w:r>
      <w:r w:rsidR="00D6559B" w:rsidRPr="009A4537">
        <w:rPr>
          <w:szCs w:val="22"/>
          <w:lang w:val="sv-SE"/>
        </w:rPr>
        <w:t>teriparatid</w:t>
      </w:r>
      <w:r w:rsidRPr="009A4537">
        <w:rPr>
          <w:szCs w:val="22"/>
          <w:lang w:val="sv-SE"/>
        </w:rPr>
        <w:t>s effekter på kalcium i serum eller urin, ej heller på biverkningsmönstret.</w:t>
      </w:r>
    </w:p>
    <w:p w14:paraId="6A31B417" w14:textId="77777777" w:rsidR="00FD3E90" w:rsidRPr="009A4537" w:rsidRDefault="00FD3E90">
      <w:pPr>
        <w:suppressAutoHyphens/>
        <w:rPr>
          <w:szCs w:val="22"/>
          <w:lang w:val="sv-SE"/>
        </w:rPr>
      </w:pPr>
    </w:p>
    <w:p w14:paraId="0FD6B897" w14:textId="77777777" w:rsidR="00FD3E90" w:rsidRPr="009A4537" w:rsidRDefault="00FD3E90" w:rsidP="00BC14F8">
      <w:pPr>
        <w:keepNext/>
        <w:suppressAutoHyphens/>
        <w:ind w:left="567" w:hanging="567"/>
        <w:rPr>
          <w:szCs w:val="22"/>
          <w:lang w:val="sv-SE"/>
        </w:rPr>
      </w:pPr>
      <w:r w:rsidRPr="009A4537">
        <w:rPr>
          <w:b/>
          <w:szCs w:val="22"/>
          <w:lang w:val="sv-SE"/>
        </w:rPr>
        <w:t>4.6</w:t>
      </w:r>
      <w:r w:rsidRPr="009A4537">
        <w:rPr>
          <w:b/>
          <w:szCs w:val="22"/>
          <w:lang w:val="sv-SE"/>
        </w:rPr>
        <w:tab/>
      </w:r>
      <w:r w:rsidR="00CD6586" w:rsidRPr="009A4537">
        <w:rPr>
          <w:b/>
          <w:szCs w:val="22"/>
          <w:lang w:val="sv-SE"/>
        </w:rPr>
        <w:t>Fertilitet, g</w:t>
      </w:r>
      <w:r w:rsidRPr="009A4537">
        <w:rPr>
          <w:b/>
          <w:szCs w:val="22"/>
          <w:lang w:val="sv-SE"/>
        </w:rPr>
        <w:t>raviditet och amning</w:t>
      </w:r>
    </w:p>
    <w:p w14:paraId="3B74315A" w14:textId="77777777" w:rsidR="00FD3E90" w:rsidRPr="009A4537" w:rsidRDefault="00FD3E90" w:rsidP="00BC14F8">
      <w:pPr>
        <w:keepNext/>
        <w:suppressAutoHyphens/>
        <w:rPr>
          <w:szCs w:val="22"/>
          <w:lang w:val="sv-SE"/>
        </w:rPr>
      </w:pPr>
    </w:p>
    <w:p w14:paraId="739621E2" w14:textId="77777777" w:rsidR="009B65F1" w:rsidRPr="009A4537" w:rsidRDefault="009B65F1" w:rsidP="00521E78">
      <w:pPr>
        <w:keepNext/>
        <w:suppressAutoHyphens/>
        <w:rPr>
          <w:szCs w:val="22"/>
          <w:u w:val="single"/>
          <w:lang w:val="sv-SE"/>
        </w:rPr>
      </w:pPr>
      <w:r w:rsidRPr="009A4537">
        <w:rPr>
          <w:szCs w:val="22"/>
          <w:u w:val="single"/>
          <w:lang w:val="sv-SE"/>
        </w:rPr>
        <w:t>Fertila kvinnor/Antikonception hos kvinnor</w:t>
      </w:r>
    </w:p>
    <w:p w14:paraId="619ED349" w14:textId="77777777" w:rsidR="00521E78" w:rsidRPr="009A4537" w:rsidRDefault="00521E78" w:rsidP="00BC14F8">
      <w:pPr>
        <w:keepNext/>
        <w:suppressAutoHyphens/>
        <w:rPr>
          <w:szCs w:val="22"/>
          <w:u w:val="single"/>
          <w:lang w:val="sv-SE"/>
        </w:rPr>
      </w:pPr>
    </w:p>
    <w:p w14:paraId="251C7ED9" w14:textId="77777777" w:rsidR="009B65F1" w:rsidRPr="009A4537" w:rsidRDefault="009B65F1" w:rsidP="00BC14F8">
      <w:pPr>
        <w:keepNext/>
        <w:suppressAutoHyphens/>
        <w:rPr>
          <w:szCs w:val="22"/>
          <w:lang w:val="sv-SE"/>
        </w:rPr>
      </w:pPr>
      <w:r w:rsidRPr="009A4537">
        <w:rPr>
          <w:szCs w:val="22"/>
          <w:lang w:val="sv-SE"/>
        </w:rPr>
        <w:t xml:space="preserve">Fertila kvinnor bör använda en säker antikonceptionsmetod under behandling med </w:t>
      </w:r>
      <w:r w:rsidR="00D6559B" w:rsidRPr="009A4537">
        <w:rPr>
          <w:szCs w:val="22"/>
          <w:lang w:val="sv-SE"/>
        </w:rPr>
        <w:t>teriparatid</w:t>
      </w:r>
      <w:r w:rsidRPr="009A4537">
        <w:rPr>
          <w:szCs w:val="22"/>
          <w:lang w:val="sv-SE"/>
        </w:rPr>
        <w:t xml:space="preserve">. Om graviditet inträffar, </w:t>
      </w:r>
      <w:r w:rsidR="005B4387" w:rsidRPr="009A4537">
        <w:rPr>
          <w:szCs w:val="22"/>
          <w:lang w:val="sv-SE"/>
        </w:rPr>
        <w:t>ska</w:t>
      </w:r>
      <w:r w:rsidRPr="009A4537">
        <w:rPr>
          <w:szCs w:val="22"/>
          <w:lang w:val="sv-SE"/>
        </w:rPr>
        <w:t xml:space="preserve"> behandlingen med </w:t>
      </w:r>
      <w:r w:rsidR="002B1059" w:rsidRPr="009A4537">
        <w:rPr>
          <w:szCs w:val="22"/>
          <w:lang w:val="sv-SE"/>
        </w:rPr>
        <w:t>Sondelbay</w:t>
      </w:r>
      <w:r w:rsidRPr="009A4537">
        <w:rPr>
          <w:szCs w:val="22"/>
          <w:lang w:val="sv-SE"/>
        </w:rPr>
        <w:t xml:space="preserve"> avslutas.</w:t>
      </w:r>
    </w:p>
    <w:p w14:paraId="513B10D0" w14:textId="77777777" w:rsidR="00E6062D" w:rsidRPr="009A4537" w:rsidRDefault="00E6062D">
      <w:pPr>
        <w:suppressAutoHyphens/>
        <w:rPr>
          <w:szCs w:val="22"/>
          <w:lang w:val="sv-SE"/>
        </w:rPr>
      </w:pPr>
    </w:p>
    <w:p w14:paraId="6200EE6D" w14:textId="77777777" w:rsidR="009B65F1" w:rsidRPr="009A4537" w:rsidRDefault="009B65F1">
      <w:pPr>
        <w:suppressAutoHyphens/>
        <w:rPr>
          <w:szCs w:val="22"/>
          <w:u w:val="single"/>
          <w:lang w:val="sv-SE"/>
        </w:rPr>
      </w:pPr>
      <w:r w:rsidRPr="009A4537">
        <w:rPr>
          <w:szCs w:val="22"/>
          <w:u w:val="single"/>
          <w:lang w:val="sv-SE"/>
        </w:rPr>
        <w:t>Graviditet</w:t>
      </w:r>
    </w:p>
    <w:p w14:paraId="58C7B6E5" w14:textId="77777777" w:rsidR="00521E78" w:rsidRPr="009A4537" w:rsidRDefault="00521E78">
      <w:pPr>
        <w:suppressAutoHyphens/>
        <w:rPr>
          <w:szCs w:val="22"/>
          <w:u w:val="single"/>
          <w:lang w:val="sv-SE"/>
        </w:rPr>
      </w:pPr>
    </w:p>
    <w:p w14:paraId="00C04D3B" w14:textId="77777777" w:rsidR="00FD3E90" w:rsidRPr="009A4537" w:rsidRDefault="00BC0BD5">
      <w:pPr>
        <w:suppressAutoHyphens/>
        <w:rPr>
          <w:szCs w:val="22"/>
          <w:lang w:val="sv-SE"/>
        </w:rPr>
      </w:pPr>
      <w:r w:rsidRPr="009A4537">
        <w:rPr>
          <w:szCs w:val="22"/>
          <w:lang w:val="sv-SE"/>
        </w:rPr>
        <w:t>Sondelbay</w:t>
      </w:r>
      <w:r w:rsidR="00FE4095" w:rsidRPr="009A4537">
        <w:rPr>
          <w:szCs w:val="22"/>
          <w:lang w:val="sv-SE"/>
        </w:rPr>
        <w:t xml:space="preserve"> är kontraindicerat för behandling under graviditet</w:t>
      </w:r>
      <w:r w:rsidR="009B65F1" w:rsidRPr="009A4537">
        <w:rPr>
          <w:szCs w:val="22"/>
          <w:lang w:val="sv-SE"/>
        </w:rPr>
        <w:t xml:space="preserve"> (se avsnitt</w:t>
      </w:r>
      <w:r w:rsidR="00D6559B" w:rsidRPr="009A4537">
        <w:rPr>
          <w:szCs w:val="22"/>
          <w:lang w:val="sv-SE"/>
        </w:rPr>
        <w:t> </w:t>
      </w:r>
      <w:r w:rsidR="009B65F1" w:rsidRPr="009A4537">
        <w:rPr>
          <w:szCs w:val="22"/>
          <w:lang w:val="sv-SE"/>
        </w:rPr>
        <w:t>4.3)</w:t>
      </w:r>
      <w:r w:rsidR="00FE4095" w:rsidRPr="009A4537">
        <w:rPr>
          <w:szCs w:val="22"/>
          <w:lang w:val="sv-SE"/>
        </w:rPr>
        <w:t>.</w:t>
      </w:r>
    </w:p>
    <w:p w14:paraId="6C5F8255" w14:textId="77777777" w:rsidR="00E6062D" w:rsidRPr="009A4537" w:rsidRDefault="00E6062D">
      <w:pPr>
        <w:suppressAutoHyphens/>
        <w:rPr>
          <w:szCs w:val="22"/>
          <w:lang w:val="sv-SE"/>
        </w:rPr>
      </w:pPr>
    </w:p>
    <w:p w14:paraId="2717F609" w14:textId="77777777" w:rsidR="009B65F1" w:rsidRPr="009A4537" w:rsidRDefault="009B65F1">
      <w:pPr>
        <w:suppressAutoHyphens/>
        <w:rPr>
          <w:szCs w:val="22"/>
          <w:u w:val="single"/>
          <w:lang w:val="sv-SE"/>
        </w:rPr>
      </w:pPr>
      <w:r w:rsidRPr="009A4537">
        <w:rPr>
          <w:szCs w:val="22"/>
          <w:u w:val="single"/>
          <w:lang w:val="sv-SE"/>
        </w:rPr>
        <w:t>Amning</w:t>
      </w:r>
    </w:p>
    <w:p w14:paraId="5D467FB9" w14:textId="77777777" w:rsidR="00521E78" w:rsidRPr="009A4537" w:rsidRDefault="00521E78">
      <w:pPr>
        <w:suppressAutoHyphens/>
        <w:rPr>
          <w:szCs w:val="22"/>
          <w:u w:val="single"/>
          <w:lang w:val="sv-SE"/>
        </w:rPr>
      </w:pPr>
    </w:p>
    <w:p w14:paraId="749ECED8" w14:textId="77777777" w:rsidR="009B65F1" w:rsidRPr="009A4537" w:rsidRDefault="00BC0BD5" w:rsidP="009B65F1">
      <w:pPr>
        <w:suppressAutoHyphens/>
        <w:rPr>
          <w:szCs w:val="22"/>
          <w:lang w:val="sv-SE"/>
        </w:rPr>
      </w:pPr>
      <w:r w:rsidRPr="009A4537">
        <w:rPr>
          <w:szCs w:val="22"/>
          <w:lang w:val="sv-SE"/>
        </w:rPr>
        <w:t>Sondelbay</w:t>
      </w:r>
      <w:r w:rsidR="009B65F1" w:rsidRPr="009A4537">
        <w:rPr>
          <w:szCs w:val="22"/>
          <w:lang w:val="sv-SE"/>
        </w:rPr>
        <w:t xml:space="preserve"> är kontraindicerat för behandling under amning. Det är inte känt om teriparatid utsöndras i modersmjölk.</w:t>
      </w:r>
    </w:p>
    <w:p w14:paraId="0B72313A" w14:textId="77777777" w:rsidR="009B65F1" w:rsidRPr="009A4537" w:rsidRDefault="009B65F1">
      <w:pPr>
        <w:suppressAutoHyphens/>
        <w:rPr>
          <w:szCs w:val="22"/>
          <w:lang w:val="sv-SE"/>
        </w:rPr>
      </w:pPr>
    </w:p>
    <w:p w14:paraId="36D7422E" w14:textId="77777777" w:rsidR="009B65F1" w:rsidRPr="009A4537" w:rsidRDefault="009B65F1">
      <w:pPr>
        <w:suppressAutoHyphens/>
        <w:rPr>
          <w:szCs w:val="22"/>
          <w:u w:val="single"/>
          <w:lang w:val="sv-SE"/>
        </w:rPr>
      </w:pPr>
      <w:r w:rsidRPr="009A4537">
        <w:rPr>
          <w:szCs w:val="22"/>
          <w:u w:val="single"/>
          <w:lang w:val="sv-SE"/>
        </w:rPr>
        <w:t>Fertilitet</w:t>
      </w:r>
    </w:p>
    <w:p w14:paraId="7B12BCD1" w14:textId="77777777" w:rsidR="00521E78" w:rsidRPr="009A4537" w:rsidRDefault="00521E78">
      <w:pPr>
        <w:suppressAutoHyphens/>
        <w:rPr>
          <w:szCs w:val="22"/>
          <w:u w:val="single"/>
          <w:lang w:val="sv-SE"/>
        </w:rPr>
      </w:pPr>
    </w:p>
    <w:p w14:paraId="18E2A387" w14:textId="77777777" w:rsidR="009B65F1" w:rsidRPr="009A4537" w:rsidRDefault="009B65F1">
      <w:pPr>
        <w:suppressAutoHyphens/>
        <w:rPr>
          <w:szCs w:val="22"/>
          <w:lang w:val="sv-SE"/>
        </w:rPr>
      </w:pPr>
      <w:r w:rsidRPr="009A4537">
        <w:rPr>
          <w:szCs w:val="22"/>
          <w:lang w:val="sv-SE"/>
        </w:rPr>
        <w:t xml:space="preserve">Studier på kanin har visat reproduktionstoxiska effekter (se </w:t>
      </w:r>
      <w:r w:rsidR="00D6559B" w:rsidRPr="009A4537">
        <w:rPr>
          <w:szCs w:val="22"/>
          <w:lang w:val="sv-SE"/>
        </w:rPr>
        <w:t>avsnitt </w:t>
      </w:r>
      <w:r w:rsidRPr="009A4537">
        <w:rPr>
          <w:szCs w:val="22"/>
          <w:lang w:val="sv-SE"/>
        </w:rPr>
        <w:t>5.3). Teriparatids effekt på den humana fosterutvecklingen har inte studerats. Den potentiella risken för människa är okänd.</w:t>
      </w:r>
    </w:p>
    <w:p w14:paraId="49A8206C" w14:textId="77777777" w:rsidR="00FD3E90" w:rsidRPr="009A4537" w:rsidRDefault="00FD3E90">
      <w:pPr>
        <w:suppressAutoHyphens/>
        <w:rPr>
          <w:szCs w:val="22"/>
          <w:lang w:val="sv-SE"/>
        </w:rPr>
      </w:pPr>
    </w:p>
    <w:p w14:paraId="51F0B9C8" w14:textId="77777777" w:rsidR="00FD3E90" w:rsidRPr="009A4537" w:rsidRDefault="00FD3E90">
      <w:pPr>
        <w:suppressAutoHyphens/>
        <w:ind w:left="567" w:hanging="567"/>
        <w:rPr>
          <w:snapToGrid w:val="0"/>
          <w:szCs w:val="22"/>
          <w:lang w:val="sv-SE"/>
        </w:rPr>
      </w:pPr>
      <w:r w:rsidRPr="009A4537">
        <w:rPr>
          <w:b/>
          <w:snapToGrid w:val="0"/>
          <w:szCs w:val="22"/>
          <w:lang w:val="sv-SE"/>
        </w:rPr>
        <w:t>4.7</w:t>
      </w:r>
      <w:r w:rsidRPr="009A4537">
        <w:rPr>
          <w:b/>
          <w:snapToGrid w:val="0"/>
          <w:szCs w:val="22"/>
          <w:lang w:val="sv-SE"/>
        </w:rPr>
        <w:tab/>
        <w:t>Effekter på förmågan att framföra fordon och använda maskiner</w:t>
      </w:r>
    </w:p>
    <w:p w14:paraId="1B1412BD" w14:textId="77777777" w:rsidR="00FD3E90" w:rsidRPr="009A4537" w:rsidRDefault="00FD3E90">
      <w:pPr>
        <w:suppressAutoHyphens/>
        <w:rPr>
          <w:szCs w:val="22"/>
          <w:lang w:val="sv-SE"/>
        </w:rPr>
      </w:pPr>
    </w:p>
    <w:p w14:paraId="6C1F9168" w14:textId="77777777" w:rsidR="00FD3E90" w:rsidRPr="009A4537" w:rsidRDefault="00D6559B">
      <w:pPr>
        <w:suppressAutoHyphens/>
        <w:rPr>
          <w:szCs w:val="22"/>
          <w:lang w:val="sv-SE"/>
        </w:rPr>
      </w:pPr>
      <w:r w:rsidRPr="009A4537">
        <w:rPr>
          <w:szCs w:val="22"/>
          <w:lang w:val="sv-SE"/>
        </w:rPr>
        <w:t>Teriparatid</w:t>
      </w:r>
      <w:r w:rsidR="00FB5D43" w:rsidRPr="009A4537">
        <w:rPr>
          <w:szCs w:val="22"/>
          <w:lang w:val="sv-SE"/>
        </w:rPr>
        <w:t xml:space="preserve"> har ingen eller försumbar effekt på förmågan att framföra fordon och använda maskiner.</w:t>
      </w:r>
      <w:r w:rsidR="00FD3E90" w:rsidRPr="009A4537">
        <w:rPr>
          <w:szCs w:val="22"/>
          <w:lang w:val="sv-SE"/>
        </w:rPr>
        <w:t xml:space="preserve"> Övergående, ortostatisk hypotoni eller yrsel har observerats hos vissa patienter. Dessa patienter </w:t>
      </w:r>
      <w:r w:rsidR="00F73DE8" w:rsidRPr="009A4537">
        <w:rPr>
          <w:szCs w:val="22"/>
          <w:lang w:val="sv-SE"/>
        </w:rPr>
        <w:t>ska</w:t>
      </w:r>
      <w:r w:rsidR="00FD3E90" w:rsidRPr="009A4537">
        <w:rPr>
          <w:szCs w:val="22"/>
          <w:lang w:val="sv-SE"/>
        </w:rPr>
        <w:t xml:space="preserve"> avstå från att köra bil eller använda maskiner tills symtomen har avtagit.</w:t>
      </w:r>
    </w:p>
    <w:p w14:paraId="121A3E31" w14:textId="77777777" w:rsidR="00FD3E90" w:rsidRPr="009A4537" w:rsidRDefault="00FD3E90">
      <w:pPr>
        <w:suppressAutoHyphens/>
        <w:rPr>
          <w:szCs w:val="22"/>
          <w:lang w:val="sv-SE"/>
        </w:rPr>
      </w:pPr>
    </w:p>
    <w:p w14:paraId="13D09793" w14:textId="77777777" w:rsidR="00FD3E90" w:rsidRPr="009A4537" w:rsidRDefault="00FD3E90" w:rsidP="00D40AA6">
      <w:pPr>
        <w:keepNext/>
        <w:suppressAutoHyphens/>
        <w:ind w:left="567" w:hanging="567"/>
        <w:rPr>
          <w:szCs w:val="22"/>
          <w:lang w:val="sv-SE"/>
        </w:rPr>
      </w:pPr>
      <w:r w:rsidRPr="009A4537">
        <w:rPr>
          <w:b/>
          <w:szCs w:val="22"/>
          <w:lang w:val="sv-SE"/>
        </w:rPr>
        <w:t>4.8</w:t>
      </w:r>
      <w:r w:rsidRPr="009A4537">
        <w:rPr>
          <w:b/>
          <w:szCs w:val="22"/>
          <w:lang w:val="sv-SE"/>
        </w:rPr>
        <w:tab/>
        <w:t>Biverkningar</w:t>
      </w:r>
    </w:p>
    <w:p w14:paraId="4453979A" w14:textId="77777777" w:rsidR="00FD3E90" w:rsidRPr="009A4537" w:rsidRDefault="00FD3E90" w:rsidP="00D40AA6">
      <w:pPr>
        <w:keepNext/>
        <w:suppressAutoHyphens/>
        <w:rPr>
          <w:szCs w:val="22"/>
          <w:lang w:val="sv-SE"/>
        </w:rPr>
      </w:pPr>
    </w:p>
    <w:p w14:paraId="55EBC76F" w14:textId="77777777" w:rsidR="00C00400" w:rsidRPr="009A4537" w:rsidRDefault="00C00400" w:rsidP="00D40AA6">
      <w:pPr>
        <w:keepNext/>
        <w:tabs>
          <w:tab w:val="left" w:pos="3261"/>
        </w:tabs>
        <w:suppressAutoHyphens/>
        <w:rPr>
          <w:szCs w:val="22"/>
          <w:u w:val="single"/>
          <w:lang w:val="sv-SE"/>
        </w:rPr>
      </w:pPr>
      <w:r w:rsidRPr="009A4537">
        <w:rPr>
          <w:szCs w:val="22"/>
          <w:u w:val="single"/>
          <w:lang w:val="sv-SE"/>
        </w:rPr>
        <w:t>Summering av säkerhetsprofilen</w:t>
      </w:r>
    </w:p>
    <w:p w14:paraId="514EDB05" w14:textId="77777777" w:rsidR="00521E78" w:rsidRPr="009A4537" w:rsidRDefault="00521E78" w:rsidP="00D40AA6">
      <w:pPr>
        <w:keepNext/>
        <w:tabs>
          <w:tab w:val="left" w:pos="3261"/>
        </w:tabs>
        <w:suppressAutoHyphens/>
        <w:rPr>
          <w:szCs w:val="22"/>
          <w:u w:val="single"/>
          <w:lang w:val="sv-SE"/>
        </w:rPr>
      </w:pPr>
    </w:p>
    <w:p w14:paraId="593525A8" w14:textId="77777777" w:rsidR="00FD3E90" w:rsidRPr="009A4537" w:rsidRDefault="00FD3E90" w:rsidP="00D40AA6">
      <w:pPr>
        <w:keepNext/>
        <w:suppressAutoHyphens/>
        <w:rPr>
          <w:szCs w:val="22"/>
          <w:lang w:val="sv-SE"/>
        </w:rPr>
      </w:pPr>
      <w:r w:rsidRPr="009A4537">
        <w:rPr>
          <w:szCs w:val="22"/>
          <w:lang w:val="sv-SE"/>
        </w:rPr>
        <w:t xml:space="preserve">De vanligaste biverkningarna, som rapporterats hos patienter behandlade med </w:t>
      </w:r>
      <w:r w:rsidR="00D6559B" w:rsidRPr="009A4537">
        <w:rPr>
          <w:szCs w:val="22"/>
          <w:lang w:val="sv-SE"/>
        </w:rPr>
        <w:t>teriparatid</w:t>
      </w:r>
      <w:r w:rsidRPr="009A4537">
        <w:rPr>
          <w:szCs w:val="22"/>
          <w:lang w:val="sv-SE"/>
        </w:rPr>
        <w:t>, är illamående, smärtor i armar och ben, huvudvärk och yrsel.</w:t>
      </w:r>
    </w:p>
    <w:p w14:paraId="66F28BE0" w14:textId="77777777" w:rsidR="003C3F19" w:rsidRPr="009A4537" w:rsidRDefault="003C3F19">
      <w:pPr>
        <w:suppressAutoHyphens/>
        <w:rPr>
          <w:szCs w:val="22"/>
          <w:lang w:val="sv-SE"/>
        </w:rPr>
      </w:pPr>
    </w:p>
    <w:p w14:paraId="01ECF528" w14:textId="77777777" w:rsidR="00C00400" w:rsidRPr="009A4537" w:rsidRDefault="00C00400" w:rsidP="00592FDC">
      <w:pPr>
        <w:tabs>
          <w:tab w:val="left" w:pos="3261"/>
        </w:tabs>
        <w:suppressAutoHyphens/>
        <w:rPr>
          <w:szCs w:val="22"/>
          <w:u w:val="single"/>
          <w:lang w:val="sv-SE"/>
        </w:rPr>
      </w:pPr>
      <w:r w:rsidRPr="009A4537">
        <w:rPr>
          <w:szCs w:val="22"/>
          <w:u w:val="single"/>
          <w:lang w:val="sv-SE"/>
        </w:rPr>
        <w:t>Lista över biverkningar i tabellform</w:t>
      </w:r>
    </w:p>
    <w:p w14:paraId="7A85BEC4" w14:textId="77777777" w:rsidR="00521E78" w:rsidRPr="009A4537" w:rsidRDefault="00521E78" w:rsidP="00592FDC">
      <w:pPr>
        <w:tabs>
          <w:tab w:val="left" w:pos="3261"/>
        </w:tabs>
        <w:suppressAutoHyphens/>
        <w:rPr>
          <w:szCs w:val="22"/>
          <w:u w:val="single"/>
          <w:lang w:val="sv-SE"/>
        </w:rPr>
      </w:pPr>
    </w:p>
    <w:p w14:paraId="77F47118" w14:textId="77777777" w:rsidR="00C00400" w:rsidRPr="009A4537" w:rsidRDefault="00C00400" w:rsidP="00592FDC">
      <w:pPr>
        <w:tabs>
          <w:tab w:val="left" w:pos="3261"/>
        </w:tabs>
        <w:suppressAutoHyphens/>
        <w:rPr>
          <w:szCs w:val="22"/>
          <w:lang w:val="sv-SE"/>
        </w:rPr>
      </w:pPr>
      <w:r w:rsidRPr="009A4537">
        <w:rPr>
          <w:szCs w:val="22"/>
          <w:lang w:val="sv-SE"/>
        </w:rPr>
        <w:t xml:space="preserve">I de kliniska studierna med teriparatid rapporterade 82,8 % av </w:t>
      </w:r>
      <w:r w:rsidR="00D6559B" w:rsidRPr="009A4537">
        <w:rPr>
          <w:szCs w:val="22"/>
          <w:lang w:val="sv-SE"/>
        </w:rPr>
        <w:t>teriparatid</w:t>
      </w:r>
      <w:r w:rsidRPr="009A4537">
        <w:rPr>
          <w:szCs w:val="22"/>
          <w:lang w:val="sv-SE"/>
        </w:rPr>
        <w:t>patienterna och 84,5 % av placebopatienterna minst 1</w:t>
      </w:r>
      <w:r w:rsidR="00D6559B" w:rsidRPr="009A4537">
        <w:rPr>
          <w:szCs w:val="22"/>
          <w:lang w:val="sv-SE"/>
        </w:rPr>
        <w:t> </w:t>
      </w:r>
      <w:r w:rsidRPr="009A4537">
        <w:rPr>
          <w:szCs w:val="22"/>
          <w:lang w:val="sv-SE"/>
        </w:rPr>
        <w:t>biverk</w:t>
      </w:r>
      <w:r w:rsidR="00D6559B" w:rsidRPr="009A4537">
        <w:rPr>
          <w:szCs w:val="22"/>
          <w:lang w:val="sv-SE"/>
        </w:rPr>
        <w:t>ning</w:t>
      </w:r>
      <w:r w:rsidRPr="009A4537">
        <w:rPr>
          <w:szCs w:val="22"/>
          <w:lang w:val="sv-SE"/>
        </w:rPr>
        <w:t>.</w:t>
      </w:r>
    </w:p>
    <w:p w14:paraId="77A39B47" w14:textId="77777777" w:rsidR="00C00400" w:rsidRPr="009A4537" w:rsidRDefault="00C00400">
      <w:pPr>
        <w:suppressAutoHyphens/>
        <w:rPr>
          <w:szCs w:val="22"/>
          <w:lang w:val="sv-SE"/>
        </w:rPr>
      </w:pPr>
    </w:p>
    <w:p w14:paraId="5A88F2D8" w14:textId="77777777" w:rsidR="00732188" w:rsidRPr="009A4537" w:rsidRDefault="002C2B7A" w:rsidP="003C3F19">
      <w:pPr>
        <w:suppressAutoHyphens/>
        <w:rPr>
          <w:color w:val="000000"/>
          <w:szCs w:val="22"/>
          <w:lang w:val="sv-SE"/>
        </w:rPr>
      </w:pPr>
      <w:r w:rsidRPr="009A4537">
        <w:rPr>
          <w:szCs w:val="22"/>
          <w:lang w:val="sv-SE"/>
        </w:rPr>
        <w:t xml:space="preserve">De biverkningar som </w:t>
      </w:r>
      <w:r w:rsidR="00732188" w:rsidRPr="009A4537">
        <w:rPr>
          <w:szCs w:val="22"/>
          <w:lang w:val="sv-SE"/>
        </w:rPr>
        <w:t>satts i samband med teriparatid i kliniska studier av osteoporos</w:t>
      </w:r>
      <w:r w:rsidR="00B72D9C" w:rsidRPr="009A4537">
        <w:rPr>
          <w:szCs w:val="22"/>
          <w:lang w:val="sv-SE"/>
        </w:rPr>
        <w:t xml:space="preserve"> och efter marknadsföringen</w:t>
      </w:r>
      <w:r w:rsidR="00732188" w:rsidRPr="009A4537">
        <w:rPr>
          <w:szCs w:val="22"/>
          <w:lang w:val="sv-SE"/>
        </w:rPr>
        <w:t xml:space="preserve"> sammanfattas i tabellen nedan. Biverkningarna har klassificerats på följande sätt: </w:t>
      </w:r>
      <w:r w:rsidR="00732188" w:rsidRPr="009A4537">
        <w:rPr>
          <w:color w:val="000000"/>
          <w:szCs w:val="22"/>
          <w:lang w:val="sv-SE"/>
        </w:rPr>
        <w:t>mycket vanlig (≥1/10), vanlig (≥1/100, &lt;1/10), mindre vanlig (≥1/1</w:t>
      </w:r>
      <w:r w:rsidR="000D44B0" w:rsidRPr="009A4537">
        <w:rPr>
          <w:color w:val="000000"/>
          <w:szCs w:val="22"/>
          <w:lang w:val="sv-SE"/>
        </w:rPr>
        <w:t> </w:t>
      </w:r>
      <w:r w:rsidR="00732188" w:rsidRPr="009A4537">
        <w:rPr>
          <w:color w:val="000000"/>
          <w:szCs w:val="22"/>
          <w:lang w:val="sv-SE"/>
        </w:rPr>
        <w:t>000, &lt;1/100), sällsynt (≥1/10</w:t>
      </w:r>
      <w:r w:rsidR="000D44B0" w:rsidRPr="009A4537">
        <w:rPr>
          <w:color w:val="000000"/>
          <w:szCs w:val="22"/>
          <w:lang w:val="sv-SE"/>
        </w:rPr>
        <w:t> </w:t>
      </w:r>
      <w:r w:rsidR="00732188" w:rsidRPr="009A4537">
        <w:rPr>
          <w:color w:val="000000"/>
          <w:szCs w:val="22"/>
          <w:lang w:val="sv-SE"/>
        </w:rPr>
        <w:t>000, &lt;1/1</w:t>
      </w:r>
      <w:r w:rsidR="000D44B0" w:rsidRPr="009A4537">
        <w:rPr>
          <w:color w:val="000000"/>
          <w:szCs w:val="22"/>
          <w:lang w:val="sv-SE"/>
        </w:rPr>
        <w:t> </w:t>
      </w:r>
      <w:r w:rsidR="00732188" w:rsidRPr="009A4537">
        <w:rPr>
          <w:color w:val="000000"/>
          <w:szCs w:val="22"/>
          <w:lang w:val="sv-SE"/>
        </w:rPr>
        <w:t>000), mycket sällsynt (&lt;1/10</w:t>
      </w:r>
      <w:r w:rsidR="000D44B0" w:rsidRPr="009A4537">
        <w:rPr>
          <w:color w:val="000000"/>
          <w:szCs w:val="22"/>
          <w:lang w:val="sv-SE"/>
        </w:rPr>
        <w:t> </w:t>
      </w:r>
      <w:r w:rsidR="00732188" w:rsidRPr="009A4537">
        <w:rPr>
          <w:color w:val="000000"/>
          <w:szCs w:val="22"/>
          <w:lang w:val="sv-SE"/>
        </w:rPr>
        <w:t xml:space="preserve">000). </w:t>
      </w:r>
    </w:p>
    <w:p w14:paraId="52D932A4" w14:textId="77777777" w:rsidR="00FD3E90" w:rsidRPr="009A4537" w:rsidRDefault="00FD3E90" w:rsidP="006908B4">
      <w:pPr>
        <w:keepNext/>
        <w:suppressAutoHyphens/>
        <w:rPr>
          <w:szCs w:val="22"/>
          <w:lang w:val="sv-SE"/>
        </w:rPr>
      </w:pPr>
    </w:p>
    <w:p w14:paraId="7178A62D" w14:textId="77777777" w:rsidR="00D6559B" w:rsidRPr="009A4537" w:rsidRDefault="00D6559B" w:rsidP="006908B4">
      <w:pPr>
        <w:keepNext/>
        <w:suppressAutoHyphens/>
        <w:rPr>
          <w:b/>
          <w:bCs/>
          <w:szCs w:val="22"/>
          <w:lang w:val="sv-SE"/>
        </w:rPr>
      </w:pPr>
      <w:r w:rsidRPr="009A4537">
        <w:rPr>
          <w:b/>
          <w:bCs/>
          <w:szCs w:val="22"/>
          <w:lang w:val="sv-SE"/>
        </w:rPr>
        <w:t>Tabell 1. Läkemedelsbiverkningar</w:t>
      </w:r>
    </w:p>
    <w:p w14:paraId="3C8BFC11" w14:textId="77777777" w:rsidR="000D44B0" w:rsidRPr="009A4537" w:rsidRDefault="000D44B0" w:rsidP="000D44B0">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513"/>
        <w:gridCol w:w="1964"/>
        <w:gridCol w:w="1934"/>
        <w:gridCol w:w="1811"/>
      </w:tblGrid>
      <w:tr w:rsidR="00F856AC" w:rsidRPr="009A4537" w14:paraId="4384F2F1" w14:textId="77777777" w:rsidTr="00D63CDE">
        <w:tc>
          <w:tcPr>
            <w:tcW w:w="1857" w:type="dxa"/>
          </w:tcPr>
          <w:p w14:paraId="6151EB6B" w14:textId="77777777" w:rsidR="000D44B0" w:rsidRPr="009A4537" w:rsidRDefault="00F24277" w:rsidP="00D63CDE">
            <w:pPr>
              <w:autoSpaceDE w:val="0"/>
              <w:autoSpaceDN w:val="0"/>
              <w:adjustRightInd w:val="0"/>
              <w:rPr>
                <w:b/>
                <w:szCs w:val="22"/>
                <w:lang w:val="sv-SE"/>
              </w:rPr>
            </w:pPr>
            <w:r w:rsidRPr="009A4537">
              <w:rPr>
                <w:b/>
                <w:szCs w:val="22"/>
                <w:lang w:val="sv-SE"/>
              </w:rPr>
              <w:t>Klassificering av o</w:t>
            </w:r>
            <w:r w:rsidR="000D44B0" w:rsidRPr="009A4537">
              <w:rPr>
                <w:b/>
                <w:szCs w:val="22"/>
                <w:lang w:val="sv-SE"/>
              </w:rPr>
              <w:t>rgansystem</w:t>
            </w:r>
          </w:p>
        </w:tc>
        <w:tc>
          <w:tcPr>
            <w:tcW w:w="1857" w:type="dxa"/>
          </w:tcPr>
          <w:p w14:paraId="1EC16082" w14:textId="77777777" w:rsidR="000D44B0" w:rsidRPr="009A4537" w:rsidRDefault="000D44B0" w:rsidP="00D63CDE">
            <w:pPr>
              <w:autoSpaceDE w:val="0"/>
              <w:autoSpaceDN w:val="0"/>
              <w:adjustRightInd w:val="0"/>
              <w:rPr>
                <w:b/>
                <w:szCs w:val="22"/>
                <w:lang w:val="sv-SE"/>
              </w:rPr>
            </w:pPr>
            <w:r w:rsidRPr="009A4537">
              <w:rPr>
                <w:b/>
                <w:szCs w:val="22"/>
                <w:lang w:val="sv-SE"/>
              </w:rPr>
              <w:t>Mycket vanliga</w:t>
            </w:r>
          </w:p>
        </w:tc>
        <w:tc>
          <w:tcPr>
            <w:tcW w:w="1857" w:type="dxa"/>
          </w:tcPr>
          <w:p w14:paraId="7BA01FA2" w14:textId="77777777" w:rsidR="000D44B0" w:rsidRPr="009A4537" w:rsidRDefault="000D44B0" w:rsidP="00D63CDE">
            <w:pPr>
              <w:autoSpaceDE w:val="0"/>
              <w:autoSpaceDN w:val="0"/>
              <w:adjustRightInd w:val="0"/>
              <w:rPr>
                <w:b/>
                <w:szCs w:val="22"/>
                <w:lang w:val="sv-SE"/>
              </w:rPr>
            </w:pPr>
            <w:r w:rsidRPr="009A4537">
              <w:rPr>
                <w:b/>
                <w:szCs w:val="22"/>
                <w:lang w:val="sv-SE"/>
              </w:rPr>
              <w:t>Vanliga</w:t>
            </w:r>
          </w:p>
        </w:tc>
        <w:tc>
          <w:tcPr>
            <w:tcW w:w="1858" w:type="dxa"/>
          </w:tcPr>
          <w:p w14:paraId="48EA83D6" w14:textId="77777777" w:rsidR="000D44B0" w:rsidRPr="009A4537" w:rsidRDefault="000D44B0" w:rsidP="00D63CDE">
            <w:pPr>
              <w:autoSpaceDE w:val="0"/>
              <w:autoSpaceDN w:val="0"/>
              <w:adjustRightInd w:val="0"/>
              <w:rPr>
                <w:b/>
                <w:szCs w:val="22"/>
                <w:lang w:val="sv-SE"/>
              </w:rPr>
            </w:pPr>
            <w:r w:rsidRPr="009A4537">
              <w:rPr>
                <w:b/>
                <w:szCs w:val="22"/>
                <w:lang w:val="sv-SE"/>
              </w:rPr>
              <w:t>Mindre vanliga</w:t>
            </w:r>
          </w:p>
        </w:tc>
        <w:tc>
          <w:tcPr>
            <w:tcW w:w="1858" w:type="dxa"/>
          </w:tcPr>
          <w:p w14:paraId="67D0777D" w14:textId="77777777" w:rsidR="000D44B0" w:rsidRPr="009A4537" w:rsidRDefault="000D44B0" w:rsidP="00D63CDE">
            <w:pPr>
              <w:autoSpaceDE w:val="0"/>
              <w:autoSpaceDN w:val="0"/>
              <w:adjustRightInd w:val="0"/>
              <w:rPr>
                <w:b/>
                <w:szCs w:val="22"/>
                <w:lang w:val="sv-SE"/>
              </w:rPr>
            </w:pPr>
            <w:r w:rsidRPr="009A4537">
              <w:rPr>
                <w:b/>
                <w:szCs w:val="22"/>
                <w:lang w:val="sv-SE"/>
              </w:rPr>
              <w:t>Sällsynta</w:t>
            </w:r>
          </w:p>
        </w:tc>
      </w:tr>
      <w:tr w:rsidR="00F856AC" w:rsidRPr="009A4537" w14:paraId="670D4FE6" w14:textId="77777777" w:rsidTr="00D63CDE">
        <w:tc>
          <w:tcPr>
            <w:tcW w:w="1857" w:type="dxa"/>
          </w:tcPr>
          <w:p w14:paraId="5E68DD0B" w14:textId="77777777" w:rsidR="000D44B0" w:rsidRPr="009A4537" w:rsidRDefault="000D44B0" w:rsidP="00D63CDE">
            <w:pPr>
              <w:autoSpaceDE w:val="0"/>
              <w:autoSpaceDN w:val="0"/>
              <w:adjustRightInd w:val="0"/>
              <w:rPr>
                <w:b/>
                <w:lang w:val="sv-SE"/>
              </w:rPr>
            </w:pPr>
            <w:r w:rsidRPr="009A4537">
              <w:rPr>
                <w:b/>
                <w:szCs w:val="22"/>
                <w:lang w:val="sv-SE"/>
              </w:rPr>
              <w:t>Blod och lymfsystemet</w:t>
            </w:r>
          </w:p>
        </w:tc>
        <w:tc>
          <w:tcPr>
            <w:tcW w:w="1857" w:type="dxa"/>
          </w:tcPr>
          <w:p w14:paraId="77F4D27F" w14:textId="77777777" w:rsidR="000D44B0" w:rsidRPr="009A4537" w:rsidRDefault="000D44B0" w:rsidP="00D63CDE">
            <w:pPr>
              <w:autoSpaceDE w:val="0"/>
              <w:autoSpaceDN w:val="0"/>
              <w:adjustRightInd w:val="0"/>
              <w:jc w:val="both"/>
              <w:rPr>
                <w:szCs w:val="22"/>
                <w:lang w:val="sv-SE"/>
              </w:rPr>
            </w:pPr>
          </w:p>
        </w:tc>
        <w:tc>
          <w:tcPr>
            <w:tcW w:w="1857" w:type="dxa"/>
          </w:tcPr>
          <w:p w14:paraId="063C5ABC" w14:textId="77777777" w:rsidR="000D44B0" w:rsidRPr="009A4537" w:rsidRDefault="000D44B0" w:rsidP="00D63CDE">
            <w:pPr>
              <w:autoSpaceDE w:val="0"/>
              <w:autoSpaceDN w:val="0"/>
              <w:adjustRightInd w:val="0"/>
              <w:jc w:val="both"/>
              <w:rPr>
                <w:szCs w:val="22"/>
                <w:lang w:val="sv-SE"/>
              </w:rPr>
            </w:pPr>
            <w:r w:rsidRPr="009A4537">
              <w:rPr>
                <w:szCs w:val="22"/>
                <w:lang w:val="sv-SE"/>
              </w:rPr>
              <w:t>Anemi</w:t>
            </w:r>
          </w:p>
        </w:tc>
        <w:tc>
          <w:tcPr>
            <w:tcW w:w="1858" w:type="dxa"/>
          </w:tcPr>
          <w:p w14:paraId="547196DE" w14:textId="77777777" w:rsidR="000D44B0" w:rsidRPr="009A4537" w:rsidRDefault="000D44B0" w:rsidP="00D63CDE">
            <w:pPr>
              <w:autoSpaceDE w:val="0"/>
              <w:autoSpaceDN w:val="0"/>
              <w:adjustRightInd w:val="0"/>
              <w:jc w:val="both"/>
              <w:rPr>
                <w:szCs w:val="22"/>
                <w:lang w:val="sv-SE"/>
              </w:rPr>
            </w:pPr>
          </w:p>
        </w:tc>
        <w:tc>
          <w:tcPr>
            <w:tcW w:w="1858" w:type="dxa"/>
          </w:tcPr>
          <w:p w14:paraId="24B5A1CF" w14:textId="77777777" w:rsidR="000D44B0" w:rsidRPr="009A4537" w:rsidRDefault="000D44B0" w:rsidP="00D63CDE">
            <w:pPr>
              <w:autoSpaceDE w:val="0"/>
              <w:autoSpaceDN w:val="0"/>
              <w:adjustRightInd w:val="0"/>
              <w:jc w:val="both"/>
              <w:rPr>
                <w:szCs w:val="22"/>
                <w:lang w:val="sv-SE"/>
              </w:rPr>
            </w:pPr>
          </w:p>
        </w:tc>
      </w:tr>
      <w:tr w:rsidR="00F856AC" w:rsidRPr="009A4537" w14:paraId="7CF98C32" w14:textId="77777777" w:rsidTr="00D63CDE">
        <w:tc>
          <w:tcPr>
            <w:tcW w:w="1857" w:type="dxa"/>
          </w:tcPr>
          <w:p w14:paraId="04BF1242" w14:textId="77777777" w:rsidR="000D44B0" w:rsidRPr="009A4537" w:rsidRDefault="000D44B0" w:rsidP="00D63CDE">
            <w:pPr>
              <w:autoSpaceDE w:val="0"/>
              <w:autoSpaceDN w:val="0"/>
              <w:adjustRightInd w:val="0"/>
              <w:rPr>
                <w:b/>
                <w:szCs w:val="22"/>
                <w:lang w:val="sv-SE"/>
              </w:rPr>
            </w:pPr>
            <w:r w:rsidRPr="009A4537">
              <w:rPr>
                <w:b/>
                <w:szCs w:val="22"/>
                <w:lang w:val="sv-SE"/>
              </w:rPr>
              <w:lastRenderedPageBreak/>
              <w:t>Immunsystemet</w:t>
            </w:r>
          </w:p>
        </w:tc>
        <w:tc>
          <w:tcPr>
            <w:tcW w:w="1857" w:type="dxa"/>
          </w:tcPr>
          <w:p w14:paraId="312C3070" w14:textId="77777777" w:rsidR="000D44B0" w:rsidRPr="009A4537" w:rsidRDefault="000D44B0" w:rsidP="00D63CDE">
            <w:pPr>
              <w:autoSpaceDE w:val="0"/>
              <w:autoSpaceDN w:val="0"/>
              <w:adjustRightInd w:val="0"/>
              <w:jc w:val="both"/>
              <w:rPr>
                <w:szCs w:val="22"/>
                <w:lang w:val="sv-SE"/>
              </w:rPr>
            </w:pPr>
          </w:p>
        </w:tc>
        <w:tc>
          <w:tcPr>
            <w:tcW w:w="1857" w:type="dxa"/>
          </w:tcPr>
          <w:p w14:paraId="074B16F3" w14:textId="77777777" w:rsidR="000D44B0" w:rsidRPr="009A4537" w:rsidRDefault="000D44B0" w:rsidP="00D63CDE">
            <w:pPr>
              <w:autoSpaceDE w:val="0"/>
              <w:autoSpaceDN w:val="0"/>
              <w:adjustRightInd w:val="0"/>
              <w:jc w:val="both"/>
              <w:rPr>
                <w:szCs w:val="22"/>
                <w:lang w:val="sv-SE"/>
              </w:rPr>
            </w:pPr>
          </w:p>
        </w:tc>
        <w:tc>
          <w:tcPr>
            <w:tcW w:w="1858" w:type="dxa"/>
          </w:tcPr>
          <w:p w14:paraId="66BC2F15" w14:textId="77777777" w:rsidR="000D44B0" w:rsidRPr="009A4537" w:rsidRDefault="000D44B0" w:rsidP="00D63CDE">
            <w:pPr>
              <w:autoSpaceDE w:val="0"/>
              <w:autoSpaceDN w:val="0"/>
              <w:adjustRightInd w:val="0"/>
              <w:jc w:val="both"/>
              <w:rPr>
                <w:szCs w:val="22"/>
                <w:lang w:val="sv-SE"/>
              </w:rPr>
            </w:pPr>
          </w:p>
        </w:tc>
        <w:tc>
          <w:tcPr>
            <w:tcW w:w="1858" w:type="dxa"/>
          </w:tcPr>
          <w:p w14:paraId="5C672B6B" w14:textId="77777777" w:rsidR="000D44B0" w:rsidRPr="009A4537" w:rsidRDefault="000D44B0" w:rsidP="00D63CDE">
            <w:pPr>
              <w:autoSpaceDE w:val="0"/>
              <w:autoSpaceDN w:val="0"/>
              <w:adjustRightInd w:val="0"/>
              <w:jc w:val="both"/>
              <w:rPr>
                <w:szCs w:val="22"/>
                <w:lang w:val="sv-SE"/>
              </w:rPr>
            </w:pPr>
            <w:r w:rsidRPr="009A4537">
              <w:rPr>
                <w:szCs w:val="22"/>
                <w:lang w:val="sv-SE"/>
              </w:rPr>
              <w:t>Anafylaxi</w:t>
            </w:r>
          </w:p>
        </w:tc>
      </w:tr>
      <w:tr w:rsidR="00F856AC" w:rsidRPr="00E45DD4" w14:paraId="61C03740" w14:textId="77777777" w:rsidTr="00D63CDE">
        <w:tc>
          <w:tcPr>
            <w:tcW w:w="1857" w:type="dxa"/>
          </w:tcPr>
          <w:p w14:paraId="0C8462B0" w14:textId="77777777" w:rsidR="000D44B0" w:rsidRPr="009A4537" w:rsidRDefault="000D44B0" w:rsidP="00D63CDE">
            <w:pPr>
              <w:autoSpaceDE w:val="0"/>
              <w:autoSpaceDN w:val="0"/>
              <w:adjustRightInd w:val="0"/>
              <w:rPr>
                <w:b/>
                <w:szCs w:val="22"/>
                <w:lang w:val="sv-SE"/>
              </w:rPr>
            </w:pPr>
            <w:r w:rsidRPr="009A4537">
              <w:rPr>
                <w:b/>
                <w:szCs w:val="22"/>
                <w:lang w:val="sv-SE"/>
              </w:rPr>
              <w:t>Metabolism och nutrition</w:t>
            </w:r>
          </w:p>
        </w:tc>
        <w:tc>
          <w:tcPr>
            <w:tcW w:w="1857" w:type="dxa"/>
          </w:tcPr>
          <w:p w14:paraId="4DCAAB9D" w14:textId="77777777" w:rsidR="000D44B0" w:rsidRPr="009A4537" w:rsidRDefault="000D44B0" w:rsidP="00D63CDE">
            <w:pPr>
              <w:autoSpaceDE w:val="0"/>
              <w:autoSpaceDN w:val="0"/>
              <w:adjustRightInd w:val="0"/>
              <w:jc w:val="both"/>
              <w:rPr>
                <w:szCs w:val="22"/>
                <w:lang w:val="sv-SE"/>
              </w:rPr>
            </w:pPr>
          </w:p>
        </w:tc>
        <w:tc>
          <w:tcPr>
            <w:tcW w:w="1857" w:type="dxa"/>
          </w:tcPr>
          <w:p w14:paraId="73269048" w14:textId="77777777" w:rsidR="000D44B0" w:rsidRPr="009A4537" w:rsidRDefault="000D44B0" w:rsidP="00D63CDE">
            <w:pPr>
              <w:autoSpaceDE w:val="0"/>
              <w:autoSpaceDN w:val="0"/>
              <w:adjustRightInd w:val="0"/>
              <w:jc w:val="both"/>
              <w:rPr>
                <w:szCs w:val="22"/>
                <w:lang w:val="sv-SE"/>
              </w:rPr>
            </w:pPr>
            <w:r w:rsidRPr="009A4537">
              <w:rPr>
                <w:szCs w:val="22"/>
                <w:lang w:val="sv-SE"/>
              </w:rPr>
              <w:t>Hyperkolesterolemi</w:t>
            </w:r>
          </w:p>
        </w:tc>
        <w:tc>
          <w:tcPr>
            <w:tcW w:w="1858" w:type="dxa"/>
          </w:tcPr>
          <w:p w14:paraId="297A09BA" w14:textId="77777777" w:rsidR="000D44B0" w:rsidRPr="009A4537" w:rsidRDefault="000D44B0" w:rsidP="00D63CDE">
            <w:pPr>
              <w:autoSpaceDE w:val="0"/>
              <w:autoSpaceDN w:val="0"/>
              <w:adjustRightInd w:val="0"/>
              <w:rPr>
                <w:szCs w:val="22"/>
                <w:lang w:val="sv-SE"/>
              </w:rPr>
            </w:pPr>
            <w:r w:rsidRPr="009A4537">
              <w:rPr>
                <w:szCs w:val="22"/>
                <w:lang w:val="sv-SE"/>
              </w:rPr>
              <w:t>Hyperkalcemi högre än 2,76 mmol/liter, hyperurikemi</w:t>
            </w:r>
          </w:p>
        </w:tc>
        <w:tc>
          <w:tcPr>
            <w:tcW w:w="1858" w:type="dxa"/>
          </w:tcPr>
          <w:p w14:paraId="49D3E9E1" w14:textId="77777777" w:rsidR="000D44B0" w:rsidRPr="009A4537" w:rsidRDefault="000D44B0" w:rsidP="00D63CDE">
            <w:pPr>
              <w:autoSpaceDE w:val="0"/>
              <w:autoSpaceDN w:val="0"/>
              <w:adjustRightInd w:val="0"/>
              <w:rPr>
                <w:szCs w:val="22"/>
                <w:lang w:val="sv-SE"/>
              </w:rPr>
            </w:pPr>
            <w:r w:rsidRPr="009A4537">
              <w:rPr>
                <w:szCs w:val="22"/>
                <w:lang w:val="sv-SE"/>
              </w:rPr>
              <w:t>Hyperkalcemi högre än 3,25</w:t>
            </w:r>
            <w:r w:rsidRPr="009A4537">
              <w:rPr>
                <w:lang w:val="sv-SE"/>
              </w:rPr>
              <w:t> </w:t>
            </w:r>
            <w:r w:rsidRPr="009A4537">
              <w:rPr>
                <w:szCs w:val="22"/>
                <w:lang w:val="sv-SE"/>
              </w:rPr>
              <w:t>mmol/l</w:t>
            </w:r>
            <w:r w:rsidR="00307DCD" w:rsidRPr="009A4537">
              <w:rPr>
                <w:szCs w:val="22"/>
                <w:lang w:val="sv-SE"/>
              </w:rPr>
              <w:t>iter</w:t>
            </w:r>
          </w:p>
        </w:tc>
      </w:tr>
      <w:tr w:rsidR="00F856AC" w:rsidRPr="009A4537" w14:paraId="70D8A7EC" w14:textId="77777777" w:rsidTr="00D63CDE">
        <w:tc>
          <w:tcPr>
            <w:tcW w:w="1857" w:type="dxa"/>
          </w:tcPr>
          <w:p w14:paraId="26147C47" w14:textId="77777777" w:rsidR="000D44B0" w:rsidRPr="009A4537" w:rsidRDefault="000D44B0" w:rsidP="00D63CDE">
            <w:pPr>
              <w:autoSpaceDE w:val="0"/>
              <w:autoSpaceDN w:val="0"/>
              <w:adjustRightInd w:val="0"/>
              <w:rPr>
                <w:b/>
                <w:szCs w:val="22"/>
                <w:lang w:val="sv-SE"/>
              </w:rPr>
            </w:pPr>
            <w:r w:rsidRPr="009A4537">
              <w:rPr>
                <w:b/>
                <w:szCs w:val="22"/>
                <w:lang w:val="sv-SE"/>
              </w:rPr>
              <w:t>Psykiska störningar</w:t>
            </w:r>
          </w:p>
        </w:tc>
        <w:tc>
          <w:tcPr>
            <w:tcW w:w="1857" w:type="dxa"/>
          </w:tcPr>
          <w:p w14:paraId="7AF06417" w14:textId="77777777" w:rsidR="000D44B0" w:rsidRPr="009A4537" w:rsidRDefault="000D44B0" w:rsidP="00D63CDE">
            <w:pPr>
              <w:autoSpaceDE w:val="0"/>
              <w:autoSpaceDN w:val="0"/>
              <w:adjustRightInd w:val="0"/>
              <w:jc w:val="both"/>
              <w:rPr>
                <w:szCs w:val="22"/>
                <w:lang w:val="sv-SE"/>
              </w:rPr>
            </w:pPr>
          </w:p>
        </w:tc>
        <w:tc>
          <w:tcPr>
            <w:tcW w:w="1857" w:type="dxa"/>
          </w:tcPr>
          <w:p w14:paraId="733CBE50" w14:textId="77777777" w:rsidR="000D44B0" w:rsidRPr="009A4537" w:rsidRDefault="000D44B0" w:rsidP="00D63CDE">
            <w:pPr>
              <w:autoSpaceDE w:val="0"/>
              <w:autoSpaceDN w:val="0"/>
              <w:adjustRightInd w:val="0"/>
              <w:jc w:val="both"/>
              <w:rPr>
                <w:szCs w:val="22"/>
                <w:lang w:val="sv-SE"/>
              </w:rPr>
            </w:pPr>
            <w:r w:rsidRPr="009A4537">
              <w:rPr>
                <w:szCs w:val="22"/>
                <w:lang w:val="sv-SE"/>
              </w:rPr>
              <w:t>Depression</w:t>
            </w:r>
          </w:p>
        </w:tc>
        <w:tc>
          <w:tcPr>
            <w:tcW w:w="1858" w:type="dxa"/>
          </w:tcPr>
          <w:p w14:paraId="7C5DFBEB" w14:textId="77777777" w:rsidR="000D44B0" w:rsidRPr="009A4537" w:rsidRDefault="000D44B0" w:rsidP="00D63CDE">
            <w:pPr>
              <w:autoSpaceDE w:val="0"/>
              <w:autoSpaceDN w:val="0"/>
              <w:adjustRightInd w:val="0"/>
              <w:jc w:val="both"/>
              <w:rPr>
                <w:szCs w:val="22"/>
                <w:lang w:val="sv-SE"/>
              </w:rPr>
            </w:pPr>
          </w:p>
        </w:tc>
        <w:tc>
          <w:tcPr>
            <w:tcW w:w="1858" w:type="dxa"/>
          </w:tcPr>
          <w:p w14:paraId="3C966620" w14:textId="77777777" w:rsidR="000D44B0" w:rsidRPr="009A4537" w:rsidRDefault="000D44B0" w:rsidP="00D63CDE">
            <w:pPr>
              <w:autoSpaceDE w:val="0"/>
              <w:autoSpaceDN w:val="0"/>
              <w:adjustRightInd w:val="0"/>
              <w:jc w:val="both"/>
              <w:rPr>
                <w:szCs w:val="22"/>
                <w:lang w:val="sv-SE"/>
              </w:rPr>
            </w:pPr>
          </w:p>
        </w:tc>
      </w:tr>
      <w:tr w:rsidR="00F856AC" w:rsidRPr="009A4537" w14:paraId="4924A714" w14:textId="77777777" w:rsidTr="00D63CDE">
        <w:tc>
          <w:tcPr>
            <w:tcW w:w="1857" w:type="dxa"/>
          </w:tcPr>
          <w:p w14:paraId="42AF01D2" w14:textId="77777777" w:rsidR="000D44B0" w:rsidRPr="009A4537" w:rsidRDefault="000D44B0" w:rsidP="00D63CDE">
            <w:pPr>
              <w:suppressAutoHyphens/>
              <w:rPr>
                <w:b/>
                <w:szCs w:val="22"/>
                <w:lang w:val="sv-SE"/>
              </w:rPr>
            </w:pPr>
            <w:r w:rsidRPr="009A4537">
              <w:rPr>
                <w:b/>
                <w:szCs w:val="22"/>
                <w:lang w:val="sv-SE"/>
              </w:rPr>
              <w:t>Centrala och perifera nervsystemet</w:t>
            </w:r>
          </w:p>
        </w:tc>
        <w:tc>
          <w:tcPr>
            <w:tcW w:w="1857" w:type="dxa"/>
          </w:tcPr>
          <w:p w14:paraId="4EE59D25" w14:textId="77777777" w:rsidR="000D44B0" w:rsidRPr="009A4537" w:rsidRDefault="000D44B0" w:rsidP="00D63CDE">
            <w:pPr>
              <w:autoSpaceDE w:val="0"/>
              <w:autoSpaceDN w:val="0"/>
              <w:adjustRightInd w:val="0"/>
              <w:jc w:val="both"/>
              <w:rPr>
                <w:szCs w:val="22"/>
                <w:lang w:val="sv-SE"/>
              </w:rPr>
            </w:pPr>
          </w:p>
        </w:tc>
        <w:tc>
          <w:tcPr>
            <w:tcW w:w="1857" w:type="dxa"/>
          </w:tcPr>
          <w:p w14:paraId="59CA75B2" w14:textId="77777777" w:rsidR="000D44B0" w:rsidRPr="009A4537" w:rsidRDefault="000D44B0" w:rsidP="00D63CDE">
            <w:pPr>
              <w:autoSpaceDE w:val="0"/>
              <w:autoSpaceDN w:val="0"/>
              <w:adjustRightInd w:val="0"/>
              <w:rPr>
                <w:szCs w:val="22"/>
                <w:lang w:val="sv-SE"/>
              </w:rPr>
            </w:pPr>
            <w:r w:rsidRPr="009A4537">
              <w:rPr>
                <w:szCs w:val="22"/>
                <w:lang w:val="sv-SE"/>
              </w:rPr>
              <w:t>Yrsel, huvudvärk, ischias, synkope</w:t>
            </w:r>
          </w:p>
        </w:tc>
        <w:tc>
          <w:tcPr>
            <w:tcW w:w="1858" w:type="dxa"/>
          </w:tcPr>
          <w:p w14:paraId="47122506" w14:textId="77777777" w:rsidR="000D44B0" w:rsidRPr="009A4537" w:rsidRDefault="000D44B0" w:rsidP="00D63CDE">
            <w:pPr>
              <w:autoSpaceDE w:val="0"/>
              <w:autoSpaceDN w:val="0"/>
              <w:adjustRightInd w:val="0"/>
              <w:jc w:val="both"/>
              <w:rPr>
                <w:szCs w:val="22"/>
                <w:lang w:val="sv-SE"/>
              </w:rPr>
            </w:pPr>
          </w:p>
        </w:tc>
        <w:tc>
          <w:tcPr>
            <w:tcW w:w="1858" w:type="dxa"/>
          </w:tcPr>
          <w:p w14:paraId="1E233E95" w14:textId="77777777" w:rsidR="000D44B0" w:rsidRPr="009A4537" w:rsidRDefault="000D44B0" w:rsidP="00D63CDE">
            <w:pPr>
              <w:autoSpaceDE w:val="0"/>
              <w:autoSpaceDN w:val="0"/>
              <w:adjustRightInd w:val="0"/>
              <w:jc w:val="both"/>
              <w:rPr>
                <w:szCs w:val="22"/>
                <w:lang w:val="sv-SE"/>
              </w:rPr>
            </w:pPr>
          </w:p>
        </w:tc>
      </w:tr>
      <w:tr w:rsidR="00F856AC" w:rsidRPr="009A4537" w14:paraId="108900E7" w14:textId="77777777" w:rsidTr="00D63CDE">
        <w:tc>
          <w:tcPr>
            <w:tcW w:w="1857" w:type="dxa"/>
          </w:tcPr>
          <w:p w14:paraId="1E2A9903" w14:textId="77777777" w:rsidR="000D44B0" w:rsidRPr="009A4537" w:rsidRDefault="000D44B0" w:rsidP="00D63CDE">
            <w:pPr>
              <w:autoSpaceDE w:val="0"/>
              <w:autoSpaceDN w:val="0"/>
              <w:adjustRightInd w:val="0"/>
              <w:rPr>
                <w:b/>
                <w:szCs w:val="22"/>
                <w:lang w:val="sv-SE"/>
              </w:rPr>
            </w:pPr>
            <w:r w:rsidRPr="009A4537">
              <w:rPr>
                <w:b/>
                <w:szCs w:val="22"/>
                <w:lang w:val="sv-SE"/>
              </w:rPr>
              <w:t>Öron och balansorgan</w:t>
            </w:r>
          </w:p>
        </w:tc>
        <w:tc>
          <w:tcPr>
            <w:tcW w:w="1857" w:type="dxa"/>
          </w:tcPr>
          <w:p w14:paraId="633CCD66" w14:textId="77777777" w:rsidR="000D44B0" w:rsidRPr="009A4537" w:rsidRDefault="000D44B0" w:rsidP="00D63CDE">
            <w:pPr>
              <w:autoSpaceDE w:val="0"/>
              <w:autoSpaceDN w:val="0"/>
              <w:adjustRightInd w:val="0"/>
              <w:jc w:val="both"/>
              <w:rPr>
                <w:szCs w:val="22"/>
                <w:lang w:val="sv-SE"/>
              </w:rPr>
            </w:pPr>
          </w:p>
        </w:tc>
        <w:tc>
          <w:tcPr>
            <w:tcW w:w="1857" w:type="dxa"/>
          </w:tcPr>
          <w:p w14:paraId="2EA09C92" w14:textId="77777777" w:rsidR="000D44B0" w:rsidRPr="009A4537" w:rsidRDefault="000D44B0" w:rsidP="00D63CDE">
            <w:pPr>
              <w:autoSpaceDE w:val="0"/>
              <w:autoSpaceDN w:val="0"/>
              <w:adjustRightInd w:val="0"/>
              <w:jc w:val="both"/>
              <w:rPr>
                <w:szCs w:val="22"/>
                <w:lang w:val="sv-SE"/>
              </w:rPr>
            </w:pPr>
            <w:r w:rsidRPr="009A4537">
              <w:rPr>
                <w:szCs w:val="22"/>
                <w:lang w:val="sv-SE"/>
              </w:rPr>
              <w:t>Svindel</w:t>
            </w:r>
          </w:p>
        </w:tc>
        <w:tc>
          <w:tcPr>
            <w:tcW w:w="1858" w:type="dxa"/>
          </w:tcPr>
          <w:p w14:paraId="62A350B3" w14:textId="77777777" w:rsidR="000D44B0" w:rsidRPr="009A4537" w:rsidRDefault="000D44B0" w:rsidP="00D63CDE">
            <w:pPr>
              <w:autoSpaceDE w:val="0"/>
              <w:autoSpaceDN w:val="0"/>
              <w:adjustRightInd w:val="0"/>
              <w:jc w:val="both"/>
              <w:rPr>
                <w:szCs w:val="22"/>
                <w:lang w:val="sv-SE"/>
              </w:rPr>
            </w:pPr>
          </w:p>
        </w:tc>
        <w:tc>
          <w:tcPr>
            <w:tcW w:w="1858" w:type="dxa"/>
          </w:tcPr>
          <w:p w14:paraId="2E5BBDB1" w14:textId="77777777" w:rsidR="000D44B0" w:rsidRPr="009A4537" w:rsidRDefault="000D44B0" w:rsidP="00D63CDE">
            <w:pPr>
              <w:autoSpaceDE w:val="0"/>
              <w:autoSpaceDN w:val="0"/>
              <w:adjustRightInd w:val="0"/>
              <w:jc w:val="both"/>
              <w:rPr>
                <w:szCs w:val="22"/>
                <w:lang w:val="sv-SE"/>
              </w:rPr>
            </w:pPr>
          </w:p>
        </w:tc>
      </w:tr>
      <w:tr w:rsidR="00F856AC" w:rsidRPr="009A4537" w14:paraId="30B7EBFA" w14:textId="77777777" w:rsidTr="00D63CDE">
        <w:tc>
          <w:tcPr>
            <w:tcW w:w="1857" w:type="dxa"/>
          </w:tcPr>
          <w:p w14:paraId="72F449F9" w14:textId="77777777" w:rsidR="000D44B0" w:rsidRPr="009A4537" w:rsidRDefault="000D44B0" w:rsidP="00D63CDE">
            <w:pPr>
              <w:autoSpaceDE w:val="0"/>
              <w:autoSpaceDN w:val="0"/>
              <w:adjustRightInd w:val="0"/>
              <w:rPr>
                <w:b/>
                <w:szCs w:val="22"/>
                <w:lang w:val="sv-SE"/>
              </w:rPr>
            </w:pPr>
            <w:r w:rsidRPr="009A4537">
              <w:rPr>
                <w:b/>
                <w:szCs w:val="22"/>
                <w:lang w:val="sv-SE"/>
              </w:rPr>
              <w:t>Hjärtat</w:t>
            </w:r>
          </w:p>
        </w:tc>
        <w:tc>
          <w:tcPr>
            <w:tcW w:w="1857" w:type="dxa"/>
          </w:tcPr>
          <w:p w14:paraId="20C6CE2B" w14:textId="77777777" w:rsidR="000D44B0" w:rsidRPr="009A4537" w:rsidRDefault="000D44B0" w:rsidP="00D63CDE">
            <w:pPr>
              <w:autoSpaceDE w:val="0"/>
              <w:autoSpaceDN w:val="0"/>
              <w:adjustRightInd w:val="0"/>
              <w:jc w:val="both"/>
              <w:rPr>
                <w:szCs w:val="22"/>
                <w:lang w:val="sv-SE"/>
              </w:rPr>
            </w:pPr>
          </w:p>
        </w:tc>
        <w:tc>
          <w:tcPr>
            <w:tcW w:w="1857" w:type="dxa"/>
          </w:tcPr>
          <w:p w14:paraId="05E01314" w14:textId="77777777" w:rsidR="000D44B0" w:rsidRPr="009A4537" w:rsidRDefault="000D44B0" w:rsidP="00D63CDE">
            <w:pPr>
              <w:autoSpaceDE w:val="0"/>
              <w:autoSpaceDN w:val="0"/>
              <w:adjustRightInd w:val="0"/>
              <w:jc w:val="both"/>
              <w:rPr>
                <w:szCs w:val="22"/>
                <w:lang w:val="sv-SE"/>
              </w:rPr>
            </w:pPr>
            <w:r w:rsidRPr="009A4537">
              <w:rPr>
                <w:szCs w:val="22"/>
                <w:lang w:val="sv-SE"/>
              </w:rPr>
              <w:t>Hjärtklappning</w:t>
            </w:r>
          </w:p>
        </w:tc>
        <w:tc>
          <w:tcPr>
            <w:tcW w:w="1858" w:type="dxa"/>
          </w:tcPr>
          <w:p w14:paraId="00489660" w14:textId="77777777" w:rsidR="000D44B0" w:rsidRPr="009A4537" w:rsidRDefault="000D44B0" w:rsidP="00D63CDE">
            <w:pPr>
              <w:autoSpaceDE w:val="0"/>
              <w:autoSpaceDN w:val="0"/>
              <w:adjustRightInd w:val="0"/>
              <w:jc w:val="both"/>
              <w:rPr>
                <w:szCs w:val="22"/>
                <w:lang w:val="sv-SE"/>
              </w:rPr>
            </w:pPr>
            <w:r w:rsidRPr="009A4537">
              <w:rPr>
                <w:szCs w:val="22"/>
                <w:lang w:val="sv-SE"/>
              </w:rPr>
              <w:t>Takykardi</w:t>
            </w:r>
          </w:p>
        </w:tc>
        <w:tc>
          <w:tcPr>
            <w:tcW w:w="1858" w:type="dxa"/>
          </w:tcPr>
          <w:p w14:paraId="7BBD8583" w14:textId="77777777" w:rsidR="000D44B0" w:rsidRPr="009A4537" w:rsidRDefault="000D44B0" w:rsidP="00D63CDE">
            <w:pPr>
              <w:autoSpaceDE w:val="0"/>
              <w:autoSpaceDN w:val="0"/>
              <w:adjustRightInd w:val="0"/>
              <w:jc w:val="both"/>
              <w:rPr>
                <w:szCs w:val="22"/>
                <w:lang w:val="sv-SE"/>
              </w:rPr>
            </w:pPr>
          </w:p>
        </w:tc>
      </w:tr>
      <w:tr w:rsidR="00F856AC" w:rsidRPr="009A4537" w14:paraId="56D78E0D" w14:textId="77777777" w:rsidTr="00D63CDE">
        <w:tc>
          <w:tcPr>
            <w:tcW w:w="1857" w:type="dxa"/>
          </w:tcPr>
          <w:p w14:paraId="1AE4A193" w14:textId="77777777" w:rsidR="000D44B0" w:rsidRPr="009A4537" w:rsidRDefault="000D44B0" w:rsidP="00D63CDE">
            <w:pPr>
              <w:autoSpaceDE w:val="0"/>
              <w:autoSpaceDN w:val="0"/>
              <w:adjustRightInd w:val="0"/>
              <w:rPr>
                <w:b/>
                <w:szCs w:val="22"/>
                <w:lang w:val="sv-SE"/>
              </w:rPr>
            </w:pPr>
            <w:r w:rsidRPr="009A4537">
              <w:rPr>
                <w:b/>
                <w:szCs w:val="22"/>
                <w:lang w:val="sv-SE"/>
              </w:rPr>
              <w:t>Blodkärl</w:t>
            </w:r>
          </w:p>
        </w:tc>
        <w:tc>
          <w:tcPr>
            <w:tcW w:w="1857" w:type="dxa"/>
          </w:tcPr>
          <w:p w14:paraId="50175061" w14:textId="77777777" w:rsidR="000D44B0" w:rsidRPr="009A4537" w:rsidRDefault="000D44B0" w:rsidP="00D63CDE">
            <w:pPr>
              <w:autoSpaceDE w:val="0"/>
              <w:autoSpaceDN w:val="0"/>
              <w:adjustRightInd w:val="0"/>
              <w:jc w:val="both"/>
              <w:rPr>
                <w:szCs w:val="22"/>
                <w:lang w:val="sv-SE"/>
              </w:rPr>
            </w:pPr>
          </w:p>
        </w:tc>
        <w:tc>
          <w:tcPr>
            <w:tcW w:w="1857" w:type="dxa"/>
          </w:tcPr>
          <w:p w14:paraId="29737A1F" w14:textId="77777777" w:rsidR="000D44B0" w:rsidRPr="009A4537" w:rsidRDefault="000D44B0" w:rsidP="00D63CDE">
            <w:pPr>
              <w:autoSpaceDE w:val="0"/>
              <w:autoSpaceDN w:val="0"/>
              <w:adjustRightInd w:val="0"/>
              <w:jc w:val="both"/>
              <w:rPr>
                <w:szCs w:val="22"/>
                <w:lang w:val="sv-SE"/>
              </w:rPr>
            </w:pPr>
            <w:r w:rsidRPr="009A4537">
              <w:rPr>
                <w:szCs w:val="22"/>
                <w:lang w:val="sv-SE"/>
              </w:rPr>
              <w:t>Hypotoni</w:t>
            </w:r>
          </w:p>
        </w:tc>
        <w:tc>
          <w:tcPr>
            <w:tcW w:w="1858" w:type="dxa"/>
          </w:tcPr>
          <w:p w14:paraId="4E20CBC8" w14:textId="77777777" w:rsidR="000D44B0" w:rsidRPr="009A4537" w:rsidRDefault="000D44B0" w:rsidP="00D63CDE">
            <w:pPr>
              <w:autoSpaceDE w:val="0"/>
              <w:autoSpaceDN w:val="0"/>
              <w:adjustRightInd w:val="0"/>
              <w:jc w:val="both"/>
              <w:rPr>
                <w:szCs w:val="22"/>
                <w:lang w:val="sv-SE"/>
              </w:rPr>
            </w:pPr>
          </w:p>
        </w:tc>
        <w:tc>
          <w:tcPr>
            <w:tcW w:w="1858" w:type="dxa"/>
          </w:tcPr>
          <w:p w14:paraId="5B368D4C" w14:textId="77777777" w:rsidR="000D44B0" w:rsidRPr="009A4537" w:rsidRDefault="000D44B0" w:rsidP="00D63CDE">
            <w:pPr>
              <w:autoSpaceDE w:val="0"/>
              <w:autoSpaceDN w:val="0"/>
              <w:adjustRightInd w:val="0"/>
              <w:jc w:val="both"/>
              <w:rPr>
                <w:szCs w:val="22"/>
                <w:lang w:val="sv-SE"/>
              </w:rPr>
            </w:pPr>
          </w:p>
        </w:tc>
      </w:tr>
      <w:tr w:rsidR="00F856AC" w:rsidRPr="009A4537" w14:paraId="576839DF" w14:textId="77777777" w:rsidTr="00D63CDE">
        <w:tc>
          <w:tcPr>
            <w:tcW w:w="1857" w:type="dxa"/>
          </w:tcPr>
          <w:p w14:paraId="267162B7" w14:textId="77777777" w:rsidR="000D44B0" w:rsidRPr="009A4537" w:rsidRDefault="000D44B0" w:rsidP="00D63CDE">
            <w:pPr>
              <w:autoSpaceDE w:val="0"/>
              <w:autoSpaceDN w:val="0"/>
              <w:adjustRightInd w:val="0"/>
              <w:rPr>
                <w:b/>
                <w:szCs w:val="22"/>
                <w:lang w:val="sv-SE"/>
              </w:rPr>
            </w:pPr>
            <w:r w:rsidRPr="009A4537">
              <w:rPr>
                <w:b/>
                <w:szCs w:val="22"/>
                <w:lang w:val="sv-SE"/>
              </w:rPr>
              <w:t>Andningsvägar, bröstkorg och mediastinum</w:t>
            </w:r>
          </w:p>
        </w:tc>
        <w:tc>
          <w:tcPr>
            <w:tcW w:w="1857" w:type="dxa"/>
          </w:tcPr>
          <w:p w14:paraId="66E4BFB9" w14:textId="77777777" w:rsidR="000D44B0" w:rsidRPr="009A4537" w:rsidRDefault="000D44B0" w:rsidP="00D63CDE">
            <w:pPr>
              <w:autoSpaceDE w:val="0"/>
              <w:autoSpaceDN w:val="0"/>
              <w:adjustRightInd w:val="0"/>
              <w:jc w:val="both"/>
              <w:rPr>
                <w:szCs w:val="22"/>
                <w:lang w:val="sv-SE"/>
              </w:rPr>
            </w:pPr>
          </w:p>
        </w:tc>
        <w:tc>
          <w:tcPr>
            <w:tcW w:w="1857" w:type="dxa"/>
          </w:tcPr>
          <w:p w14:paraId="709C13B7" w14:textId="77777777" w:rsidR="000D44B0" w:rsidRPr="009A4537" w:rsidRDefault="000D44B0" w:rsidP="00D63CDE">
            <w:pPr>
              <w:autoSpaceDE w:val="0"/>
              <w:autoSpaceDN w:val="0"/>
              <w:adjustRightInd w:val="0"/>
              <w:jc w:val="both"/>
              <w:rPr>
                <w:szCs w:val="22"/>
                <w:lang w:val="sv-SE"/>
              </w:rPr>
            </w:pPr>
            <w:r w:rsidRPr="009A4537">
              <w:rPr>
                <w:szCs w:val="22"/>
                <w:lang w:val="sv-SE"/>
              </w:rPr>
              <w:t>Dyspné</w:t>
            </w:r>
          </w:p>
        </w:tc>
        <w:tc>
          <w:tcPr>
            <w:tcW w:w="1858" w:type="dxa"/>
          </w:tcPr>
          <w:p w14:paraId="2EAD48D2" w14:textId="77777777" w:rsidR="000D44B0" w:rsidRPr="009A4537" w:rsidRDefault="000D44B0" w:rsidP="00D63CDE">
            <w:pPr>
              <w:autoSpaceDE w:val="0"/>
              <w:autoSpaceDN w:val="0"/>
              <w:adjustRightInd w:val="0"/>
              <w:jc w:val="both"/>
              <w:rPr>
                <w:szCs w:val="22"/>
                <w:lang w:val="sv-SE"/>
              </w:rPr>
            </w:pPr>
            <w:r w:rsidRPr="009A4537">
              <w:rPr>
                <w:szCs w:val="22"/>
                <w:lang w:val="sv-SE"/>
              </w:rPr>
              <w:t>Emfysem</w:t>
            </w:r>
          </w:p>
        </w:tc>
        <w:tc>
          <w:tcPr>
            <w:tcW w:w="1858" w:type="dxa"/>
          </w:tcPr>
          <w:p w14:paraId="48CF6526" w14:textId="77777777" w:rsidR="000D44B0" w:rsidRPr="009A4537" w:rsidRDefault="000D44B0" w:rsidP="00D63CDE">
            <w:pPr>
              <w:autoSpaceDE w:val="0"/>
              <w:autoSpaceDN w:val="0"/>
              <w:adjustRightInd w:val="0"/>
              <w:jc w:val="both"/>
              <w:rPr>
                <w:szCs w:val="22"/>
                <w:lang w:val="sv-SE"/>
              </w:rPr>
            </w:pPr>
          </w:p>
        </w:tc>
      </w:tr>
      <w:tr w:rsidR="00F856AC" w:rsidRPr="009A4537" w14:paraId="0846A88A" w14:textId="77777777" w:rsidTr="00D63CDE">
        <w:tc>
          <w:tcPr>
            <w:tcW w:w="1857" w:type="dxa"/>
          </w:tcPr>
          <w:p w14:paraId="5480FC66" w14:textId="77777777" w:rsidR="000D44B0" w:rsidRPr="009A4537" w:rsidRDefault="000D44B0" w:rsidP="00D63CDE">
            <w:pPr>
              <w:autoSpaceDE w:val="0"/>
              <w:autoSpaceDN w:val="0"/>
              <w:adjustRightInd w:val="0"/>
              <w:rPr>
                <w:b/>
                <w:szCs w:val="22"/>
                <w:lang w:val="sv-SE"/>
              </w:rPr>
            </w:pPr>
            <w:r w:rsidRPr="009A4537">
              <w:rPr>
                <w:b/>
                <w:szCs w:val="22"/>
                <w:lang w:val="sv-SE"/>
              </w:rPr>
              <w:t>Magtarmkanalen</w:t>
            </w:r>
          </w:p>
        </w:tc>
        <w:tc>
          <w:tcPr>
            <w:tcW w:w="1857" w:type="dxa"/>
          </w:tcPr>
          <w:p w14:paraId="735FAD78" w14:textId="77777777" w:rsidR="000D44B0" w:rsidRPr="009A4537" w:rsidRDefault="000D44B0" w:rsidP="00D63CDE">
            <w:pPr>
              <w:autoSpaceDE w:val="0"/>
              <w:autoSpaceDN w:val="0"/>
              <w:adjustRightInd w:val="0"/>
              <w:jc w:val="both"/>
              <w:rPr>
                <w:szCs w:val="22"/>
                <w:lang w:val="sv-SE"/>
              </w:rPr>
            </w:pPr>
          </w:p>
        </w:tc>
        <w:tc>
          <w:tcPr>
            <w:tcW w:w="1857" w:type="dxa"/>
          </w:tcPr>
          <w:p w14:paraId="388EBB52" w14:textId="77777777" w:rsidR="000D44B0" w:rsidRPr="009A4537" w:rsidRDefault="000D44B0" w:rsidP="00D63CDE">
            <w:pPr>
              <w:autoSpaceDE w:val="0"/>
              <w:autoSpaceDN w:val="0"/>
              <w:adjustRightInd w:val="0"/>
              <w:jc w:val="both"/>
              <w:rPr>
                <w:szCs w:val="22"/>
                <w:lang w:val="sv-SE"/>
              </w:rPr>
            </w:pPr>
            <w:r w:rsidRPr="009A4537">
              <w:rPr>
                <w:szCs w:val="22"/>
                <w:lang w:val="sv-SE"/>
              </w:rPr>
              <w:t>Illamående, kräkningar, hiatushernia, gastroesofageal reflux</w:t>
            </w:r>
          </w:p>
        </w:tc>
        <w:tc>
          <w:tcPr>
            <w:tcW w:w="1858" w:type="dxa"/>
          </w:tcPr>
          <w:p w14:paraId="56B513D3" w14:textId="77777777" w:rsidR="000D44B0" w:rsidRPr="009A4537" w:rsidRDefault="000D44B0" w:rsidP="00D63CDE">
            <w:pPr>
              <w:autoSpaceDE w:val="0"/>
              <w:autoSpaceDN w:val="0"/>
              <w:adjustRightInd w:val="0"/>
              <w:jc w:val="both"/>
              <w:rPr>
                <w:szCs w:val="22"/>
                <w:lang w:val="sv-SE"/>
              </w:rPr>
            </w:pPr>
            <w:r w:rsidRPr="009A4537">
              <w:rPr>
                <w:szCs w:val="22"/>
                <w:lang w:val="sv-SE"/>
              </w:rPr>
              <w:t>Hemorr</w:t>
            </w:r>
            <w:r w:rsidR="00F24277" w:rsidRPr="009A4537">
              <w:rPr>
                <w:szCs w:val="22"/>
                <w:lang w:val="sv-SE"/>
              </w:rPr>
              <w:t>o</w:t>
            </w:r>
            <w:r w:rsidRPr="009A4537">
              <w:rPr>
                <w:szCs w:val="22"/>
                <w:lang w:val="sv-SE"/>
              </w:rPr>
              <w:t>jder</w:t>
            </w:r>
          </w:p>
        </w:tc>
        <w:tc>
          <w:tcPr>
            <w:tcW w:w="1858" w:type="dxa"/>
          </w:tcPr>
          <w:p w14:paraId="7BC67A16" w14:textId="77777777" w:rsidR="000D44B0" w:rsidRPr="009A4537" w:rsidRDefault="000D44B0" w:rsidP="00D63CDE">
            <w:pPr>
              <w:autoSpaceDE w:val="0"/>
              <w:autoSpaceDN w:val="0"/>
              <w:adjustRightInd w:val="0"/>
              <w:jc w:val="both"/>
              <w:rPr>
                <w:szCs w:val="22"/>
                <w:lang w:val="sv-SE"/>
              </w:rPr>
            </w:pPr>
          </w:p>
        </w:tc>
      </w:tr>
      <w:tr w:rsidR="00F856AC" w:rsidRPr="009A4537" w14:paraId="73175D63" w14:textId="77777777" w:rsidTr="00D63CDE">
        <w:tc>
          <w:tcPr>
            <w:tcW w:w="1857" w:type="dxa"/>
          </w:tcPr>
          <w:p w14:paraId="19BC6411" w14:textId="77777777" w:rsidR="000D44B0" w:rsidRPr="009A4537" w:rsidRDefault="000D44B0" w:rsidP="00D63CDE">
            <w:pPr>
              <w:autoSpaceDE w:val="0"/>
              <w:autoSpaceDN w:val="0"/>
              <w:adjustRightInd w:val="0"/>
              <w:rPr>
                <w:b/>
                <w:szCs w:val="22"/>
                <w:lang w:val="sv-SE"/>
              </w:rPr>
            </w:pPr>
            <w:r w:rsidRPr="009A4537">
              <w:rPr>
                <w:b/>
                <w:szCs w:val="22"/>
                <w:lang w:val="sv-SE"/>
              </w:rPr>
              <w:t>Hud och subkutan vävnad</w:t>
            </w:r>
          </w:p>
        </w:tc>
        <w:tc>
          <w:tcPr>
            <w:tcW w:w="1857" w:type="dxa"/>
          </w:tcPr>
          <w:p w14:paraId="6B57A0E9" w14:textId="77777777" w:rsidR="000D44B0" w:rsidRPr="009A4537" w:rsidRDefault="000D44B0" w:rsidP="00D63CDE">
            <w:pPr>
              <w:autoSpaceDE w:val="0"/>
              <w:autoSpaceDN w:val="0"/>
              <w:adjustRightInd w:val="0"/>
              <w:jc w:val="both"/>
              <w:rPr>
                <w:szCs w:val="22"/>
                <w:lang w:val="sv-SE"/>
              </w:rPr>
            </w:pPr>
          </w:p>
        </w:tc>
        <w:tc>
          <w:tcPr>
            <w:tcW w:w="1857" w:type="dxa"/>
          </w:tcPr>
          <w:p w14:paraId="1BC50874" w14:textId="77777777" w:rsidR="000D44B0" w:rsidRPr="009A4537" w:rsidRDefault="000D44B0" w:rsidP="00D63CDE">
            <w:pPr>
              <w:autoSpaceDE w:val="0"/>
              <w:autoSpaceDN w:val="0"/>
              <w:adjustRightInd w:val="0"/>
              <w:jc w:val="both"/>
              <w:rPr>
                <w:szCs w:val="22"/>
                <w:lang w:val="sv-SE"/>
              </w:rPr>
            </w:pPr>
            <w:r w:rsidRPr="009A4537">
              <w:rPr>
                <w:szCs w:val="22"/>
                <w:lang w:val="sv-SE"/>
              </w:rPr>
              <w:t>Ökad svettning</w:t>
            </w:r>
          </w:p>
        </w:tc>
        <w:tc>
          <w:tcPr>
            <w:tcW w:w="1858" w:type="dxa"/>
          </w:tcPr>
          <w:p w14:paraId="70E1FCB7" w14:textId="77777777" w:rsidR="000D44B0" w:rsidRPr="009A4537" w:rsidRDefault="000D44B0" w:rsidP="00D63CDE">
            <w:pPr>
              <w:autoSpaceDE w:val="0"/>
              <w:autoSpaceDN w:val="0"/>
              <w:adjustRightInd w:val="0"/>
              <w:jc w:val="both"/>
              <w:rPr>
                <w:szCs w:val="22"/>
                <w:lang w:val="sv-SE"/>
              </w:rPr>
            </w:pPr>
          </w:p>
        </w:tc>
        <w:tc>
          <w:tcPr>
            <w:tcW w:w="1858" w:type="dxa"/>
          </w:tcPr>
          <w:p w14:paraId="28A8E9A0" w14:textId="77777777" w:rsidR="000D44B0" w:rsidRPr="009A4537" w:rsidRDefault="000D44B0" w:rsidP="00D63CDE">
            <w:pPr>
              <w:autoSpaceDE w:val="0"/>
              <w:autoSpaceDN w:val="0"/>
              <w:adjustRightInd w:val="0"/>
              <w:jc w:val="both"/>
              <w:rPr>
                <w:szCs w:val="22"/>
                <w:lang w:val="sv-SE"/>
              </w:rPr>
            </w:pPr>
          </w:p>
        </w:tc>
      </w:tr>
      <w:tr w:rsidR="00F856AC" w:rsidRPr="00E45DD4" w14:paraId="4729DE23" w14:textId="77777777" w:rsidTr="00D63CDE">
        <w:trPr>
          <w:trHeight w:val="840"/>
        </w:trPr>
        <w:tc>
          <w:tcPr>
            <w:tcW w:w="1857" w:type="dxa"/>
          </w:tcPr>
          <w:p w14:paraId="62669CFE" w14:textId="77777777" w:rsidR="000D44B0" w:rsidRPr="009A4537" w:rsidRDefault="000D44B0" w:rsidP="00D63CDE">
            <w:pPr>
              <w:autoSpaceDE w:val="0"/>
              <w:autoSpaceDN w:val="0"/>
              <w:adjustRightInd w:val="0"/>
              <w:rPr>
                <w:b/>
                <w:szCs w:val="22"/>
                <w:lang w:val="sv-SE"/>
              </w:rPr>
            </w:pPr>
            <w:r w:rsidRPr="009A4537">
              <w:rPr>
                <w:b/>
                <w:szCs w:val="22"/>
                <w:lang w:val="sv-SE"/>
              </w:rPr>
              <w:t>Muskeloskeletala systemet och bindväv</w:t>
            </w:r>
          </w:p>
        </w:tc>
        <w:tc>
          <w:tcPr>
            <w:tcW w:w="1857" w:type="dxa"/>
          </w:tcPr>
          <w:p w14:paraId="15A1AA32" w14:textId="77777777" w:rsidR="000D44B0" w:rsidRPr="009A4537" w:rsidRDefault="000D44B0" w:rsidP="00D63CDE">
            <w:pPr>
              <w:autoSpaceDE w:val="0"/>
              <w:autoSpaceDN w:val="0"/>
              <w:adjustRightInd w:val="0"/>
              <w:rPr>
                <w:szCs w:val="22"/>
                <w:lang w:val="sv-SE"/>
              </w:rPr>
            </w:pPr>
            <w:r w:rsidRPr="009A4537">
              <w:rPr>
                <w:szCs w:val="22"/>
                <w:lang w:val="sv-SE"/>
              </w:rPr>
              <w:t>Smärta i armar och ben</w:t>
            </w:r>
          </w:p>
        </w:tc>
        <w:tc>
          <w:tcPr>
            <w:tcW w:w="1857" w:type="dxa"/>
          </w:tcPr>
          <w:p w14:paraId="760B058B" w14:textId="77777777" w:rsidR="000D44B0" w:rsidRPr="009A4537" w:rsidRDefault="000D44B0" w:rsidP="00D63CDE">
            <w:pPr>
              <w:autoSpaceDE w:val="0"/>
              <w:autoSpaceDN w:val="0"/>
              <w:adjustRightInd w:val="0"/>
              <w:rPr>
                <w:szCs w:val="22"/>
                <w:lang w:val="sv-SE"/>
              </w:rPr>
            </w:pPr>
            <w:r w:rsidRPr="009A4537">
              <w:rPr>
                <w:szCs w:val="22"/>
                <w:lang w:val="sv-SE"/>
              </w:rPr>
              <w:t>Muskelkramper</w:t>
            </w:r>
          </w:p>
        </w:tc>
        <w:tc>
          <w:tcPr>
            <w:tcW w:w="1858" w:type="dxa"/>
          </w:tcPr>
          <w:p w14:paraId="1FE0AD58" w14:textId="77777777" w:rsidR="000D44B0" w:rsidRPr="009A4537" w:rsidRDefault="000D44B0" w:rsidP="00D63CDE">
            <w:pPr>
              <w:autoSpaceDE w:val="0"/>
              <w:autoSpaceDN w:val="0"/>
              <w:adjustRightInd w:val="0"/>
              <w:rPr>
                <w:szCs w:val="22"/>
                <w:lang w:val="sv-SE"/>
              </w:rPr>
            </w:pPr>
            <w:r w:rsidRPr="009A4537">
              <w:rPr>
                <w:szCs w:val="22"/>
                <w:lang w:val="sv-SE"/>
              </w:rPr>
              <w:t>Myalgi, artralgi, kramp i ryggen/smärta*</w:t>
            </w:r>
          </w:p>
        </w:tc>
        <w:tc>
          <w:tcPr>
            <w:tcW w:w="1858" w:type="dxa"/>
          </w:tcPr>
          <w:p w14:paraId="0966C896" w14:textId="77777777" w:rsidR="000D44B0" w:rsidRPr="009A4537" w:rsidRDefault="000D44B0" w:rsidP="00D63CDE">
            <w:pPr>
              <w:autoSpaceDE w:val="0"/>
              <w:autoSpaceDN w:val="0"/>
              <w:adjustRightInd w:val="0"/>
              <w:jc w:val="both"/>
              <w:rPr>
                <w:szCs w:val="22"/>
                <w:lang w:val="sv-SE"/>
              </w:rPr>
            </w:pPr>
          </w:p>
        </w:tc>
      </w:tr>
      <w:tr w:rsidR="00F856AC" w:rsidRPr="009A4537" w14:paraId="4E703E4D" w14:textId="77777777" w:rsidTr="00D63CDE">
        <w:tc>
          <w:tcPr>
            <w:tcW w:w="1857" w:type="dxa"/>
          </w:tcPr>
          <w:p w14:paraId="2C3BAEAC" w14:textId="77777777" w:rsidR="000D44B0" w:rsidRPr="009A4537" w:rsidRDefault="000D44B0" w:rsidP="00D63CDE">
            <w:pPr>
              <w:autoSpaceDE w:val="0"/>
              <w:autoSpaceDN w:val="0"/>
              <w:adjustRightInd w:val="0"/>
              <w:rPr>
                <w:b/>
                <w:szCs w:val="22"/>
                <w:lang w:val="sv-SE"/>
              </w:rPr>
            </w:pPr>
            <w:r w:rsidRPr="009A4537">
              <w:rPr>
                <w:b/>
                <w:szCs w:val="22"/>
                <w:lang w:val="sv-SE"/>
              </w:rPr>
              <w:t>Njurar och urinvägar</w:t>
            </w:r>
          </w:p>
        </w:tc>
        <w:tc>
          <w:tcPr>
            <w:tcW w:w="1857" w:type="dxa"/>
          </w:tcPr>
          <w:p w14:paraId="08A8BAAE" w14:textId="77777777" w:rsidR="000D44B0" w:rsidRPr="009A4537" w:rsidRDefault="000D44B0" w:rsidP="00D63CDE">
            <w:pPr>
              <w:autoSpaceDE w:val="0"/>
              <w:autoSpaceDN w:val="0"/>
              <w:adjustRightInd w:val="0"/>
              <w:jc w:val="both"/>
              <w:rPr>
                <w:szCs w:val="22"/>
                <w:lang w:val="sv-SE"/>
              </w:rPr>
            </w:pPr>
          </w:p>
        </w:tc>
        <w:tc>
          <w:tcPr>
            <w:tcW w:w="1857" w:type="dxa"/>
          </w:tcPr>
          <w:p w14:paraId="4C0E4F8C" w14:textId="77777777" w:rsidR="000D44B0" w:rsidRPr="009A4537" w:rsidRDefault="000D44B0" w:rsidP="00D63CDE">
            <w:pPr>
              <w:autoSpaceDE w:val="0"/>
              <w:autoSpaceDN w:val="0"/>
              <w:adjustRightInd w:val="0"/>
              <w:jc w:val="both"/>
              <w:rPr>
                <w:szCs w:val="22"/>
                <w:lang w:val="sv-SE"/>
              </w:rPr>
            </w:pPr>
          </w:p>
        </w:tc>
        <w:tc>
          <w:tcPr>
            <w:tcW w:w="1858" w:type="dxa"/>
          </w:tcPr>
          <w:p w14:paraId="5C0E7963" w14:textId="77777777" w:rsidR="000D44B0" w:rsidRPr="009A4537" w:rsidRDefault="000D44B0" w:rsidP="00D63CDE">
            <w:pPr>
              <w:autoSpaceDE w:val="0"/>
              <w:autoSpaceDN w:val="0"/>
              <w:adjustRightInd w:val="0"/>
              <w:jc w:val="both"/>
              <w:rPr>
                <w:szCs w:val="22"/>
                <w:lang w:val="sv-SE"/>
              </w:rPr>
            </w:pPr>
            <w:r w:rsidRPr="009A4537">
              <w:rPr>
                <w:szCs w:val="22"/>
                <w:lang w:val="sv-SE"/>
              </w:rPr>
              <w:t>Urininkontinens, polyuri, miktionsstörningar, njursten</w:t>
            </w:r>
          </w:p>
        </w:tc>
        <w:tc>
          <w:tcPr>
            <w:tcW w:w="1858" w:type="dxa"/>
          </w:tcPr>
          <w:p w14:paraId="3253A867" w14:textId="77777777" w:rsidR="000D44B0" w:rsidRPr="009A4537" w:rsidRDefault="000D44B0" w:rsidP="00D63CDE">
            <w:pPr>
              <w:autoSpaceDE w:val="0"/>
              <w:autoSpaceDN w:val="0"/>
              <w:adjustRightInd w:val="0"/>
              <w:jc w:val="both"/>
              <w:rPr>
                <w:szCs w:val="22"/>
                <w:lang w:val="sv-SE"/>
              </w:rPr>
            </w:pPr>
            <w:r w:rsidRPr="009A4537">
              <w:rPr>
                <w:szCs w:val="22"/>
                <w:lang w:val="sv-SE"/>
              </w:rPr>
              <w:t>Njursvikt/nedsatt njurfunktion</w:t>
            </w:r>
          </w:p>
        </w:tc>
      </w:tr>
      <w:tr w:rsidR="00F856AC" w:rsidRPr="00E45DD4" w14:paraId="429E705B" w14:textId="77777777" w:rsidTr="00D63CDE">
        <w:tc>
          <w:tcPr>
            <w:tcW w:w="1857" w:type="dxa"/>
          </w:tcPr>
          <w:p w14:paraId="4312E35E" w14:textId="77777777" w:rsidR="000D44B0" w:rsidRPr="009A4537" w:rsidRDefault="000D44B0" w:rsidP="00D63CDE">
            <w:pPr>
              <w:autoSpaceDE w:val="0"/>
              <w:autoSpaceDN w:val="0"/>
              <w:adjustRightInd w:val="0"/>
              <w:rPr>
                <w:b/>
                <w:szCs w:val="22"/>
                <w:lang w:val="sv-SE"/>
              </w:rPr>
            </w:pPr>
            <w:r w:rsidRPr="009A4537">
              <w:rPr>
                <w:b/>
                <w:szCs w:val="22"/>
                <w:lang w:val="sv-SE"/>
              </w:rPr>
              <w:t>Allmänna symtom och/eller symtom vid administeringsstället</w:t>
            </w:r>
          </w:p>
        </w:tc>
        <w:tc>
          <w:tcPr>
            <w:tcW w:w="1857" w:type="dxa"/>
          </w:tcPr>
          <w:p w14:paraId="46A96D5B" w14:textId="77777777" w:rsidR="000D44B0" w:rsidRPr="009A4537" w:rsidRDefault="000D44B0" w:rsidP="00D63CDE">
            <w:pPr>
              <w:autoSpaceDE w:val="0"/>
              <w:autoSpaceDN w:val="0"/>
              <w:adjustRightInd w:val="0"/>
              <w:jc w:val="both"/>
              <w:rPr>
                <w:szCs w:val="22"/>
                <w:lang w:val="sv-SE"/>
              </w:rPr>
            </w:pPr>
          </w:p>
        </w:tc>
        <w:tc>
          <w:tcPr>
            <w:tcW w:w="1857" w:type="dxa"/>
          </w:tcPr>
          <w:p w14:paraId="6CD51E96" w14:textId="77777777" w:rsidR="000D44B0" w:rsidRPr="009A4537" w:rsidRDefault="000D44B0" w:rsidP="00D63CDE">
            <w:pPr>
              <w:autoSpaceDE w:val="0"/>
              <w:autoSpaceDN w:val="0"/>
              <w:adjustRightInd w:val="0"/>
              <w:rPr>
                <w:szCs w:val="22"/>
                <w:lang w:val="sv-SE"/>
              </w:rPr>
            </w:pPr>
            <w:r w:rsidRPr="009A4537">
              <w:rPr>
                <w:szCs w:val="22"/>
                <w:lang w:val="sv-SE"/>
              </w:rPr>
              <w:t>Trötthet, bröstsmärta, asteni, milda och övergående reaktioner vid injektionsstället inkluderande smärta, svullnad, erytem, blåmärken, klåda och mindre blödning</w:t>
            </w:r>
          </w:p>
        </w:tc>
        <w:tc>
          <w:tcPr>
            <w:tcW w:w="1858" w:type="dxa"/>
          </w:tcPr>
          <w:p w14:paraId="47035B3A" w14:textId="77777777" w:rsidR="000D44B0" w:rsidRPr="009A4537" w:rsidRDefault="000D44B0" w:rsidP="00D63CDE">
            <w:pPr>
              <w:autoSpaceDE w:val="0"/>
              <w:autoSpaceDN w:val="0"/>
              <w:adjustRightInd w:val="0"/>
              <w:rPr>
                <w:szCs w:val="22"/>
                <w:lang w:val="sv-SE"/>
              </w:rPr>
            </w:pPr>
            <w:r w:rsidRPr="009A4537">
              <w:rPr>
                <w:szCs w:val="22"/>
                <w:lang w:val="sv-SE"/>
              </w:rPr>
              <w:t>Erytem vid injektionsstället, reaktion vid injektionsstället</w:t>
            </w:r>
          </w:p>
        </w:tc>
        <w:tc>
          <w:tcPr>
            <w:tcW w:w="1858" w:type="dxa"/>
          </w:tcPr>
          <w:p w14:paraId="66CF87ED" w14:textId="77777777" w:rsidR="000D44B0" w:rsidRPr="009A4537" w:rsidRDefault="000D44B0" w:rsidP="00D63CDE">
            <w:pPr>
              <w:autoSpaceDE w:val="0"/>
              <w:autoSpaceDN w:val="0"/>
              <w:adjustRightInd w:val="0"/>
              <w:rPr>
                <w:szCs w:val="22"/>
                <w:lang w:val="sv-SE"/>
              </w:rPr>
            </w:pPr>
            <w:r w:rsidRPr="009A4537">
              <w:rPr>
                <w:szCs w:val="22"/>
                <w:lang w:val="sv-SE"/>
              </w:rPr>
              <w:t>Eventuella allergiska reaktioner kort efter injektion: akut dyspné, orofaciala ödem, generell urti</w:t>
            </w:r>
            <w:r w:rsidR="006909E3" w:rsidRPr="009A4537">
              <w:rPr>
                <w:szCs w:val="22"/>
                <w:lang w:val="sv-SE"/>
              </w:rPr>
              <w:t>k</w:t>
            </w:r>
            <w:r w:rsidRPr="009A4537">
              <w:rPr>
                <w:szCs w:val="22"/>
                <w:lang w:val="sv-SE"/>
              </w:rPr>
              <w:t>aria och bröstsmärta, ödem (huvudsakligen perifera)</w:t>
            </w:r>
          </w:p>
        </w:tc>
      </w:tr>
      <w:tr w:rsidR="00F856AC" w:rsidRPr="00E45DD4" w14:paraId="404496FA" w14:textId="77777777" w:rsidTr="00D63CDE">
        <w:tc>
          <w:tcPr>
            <w:tcW w:w="1857" w:type="dxa"/>
            <w:tcBorders>
              <w:bottom w:val="single" w:sz="4" w:space="0" w:color="auto"/>
            </w:tcBorders>
          </w:tcPr>
          <w:p w14:paraId="5349240E" w14:textId="77777777" w:rsidR="000D44B0" w:rsidRPr="009A4537" w:rsidRDefault="000D44B0" w:rsidP="00D63CDE">
            <w:pPr>
              <w:autoSpaceDE w:val="0"/>
              <w:autoSpaceDN w:val="0"/>
              <w:adjustRightInd w:val="0"/>
              <w:rPr>
                <w:b/>
                <w:szCs w:val="22"/>
                <w:lang w:val="sv-SE"/>
              </w:rPr>
            </w:pPr>
            <w:r w:rsidRPr="009A4537">
              <w:rPr>
                <w:b/>
                <w:szCs w:val="22"/>
                <w:lang w:val="sv-SE"/>
              </w:rPr>
              <w:t>Undersökningar</w:t>
            </w:r>
          </w:p>
        </w:tc>
        <w:tc>
          <w:tcPr>
            <w:tcW w:w="1857" w:type="dxa"/>
            <w:tcBorders>
              <w:bottom w:val="single" w:sz="4" w:space="0" w:color="auto"/>
            </w:tcBorders>
          </w:tcPr>
          <w:p w14:paraId="37F9147D" w14:textId="77777777" w:rsidR="000D44B0" w:rsidRPr="009A4537" w:rsidRDefault="000D44B0" w:rsidP="00D63CDE">
            <w:pPr>
              <w:autoSpaceDE w:val="0"/>
              <w:autoSpaceDN w:val="0"/>
              <w:adjustRightInd w:val="0"/>
              <w:jc w:val="both"/>
              <w:rPr>
                <w:szCs w:val="22"/>
                <w:lang w:val="sv-SE"/>
              </w:rPr>
            </w:pPr>
          </w:p>
        </w:tc>
        <w:tc>
          <w:tcPr>
            <w:tcW w:w="1857" w:type="dxa"/>
            <w:tcBorders>
              <w:bottom w:val="single" w:sz="4" w:space="0" w:color="auto"/>
            </w:tcBorders>
          </w:tcPr>
          <w:p w14:paraId="6993CC5C" w14:textId="77777777" w:rsidR="000D44B0" w:rsidRPr="009A4537" w:rsidRDefault="000D44B0" w:rsidP="00D63CDE">
            <w:pPr>
              <w:autoSpaceDE w:val="0"/>
              <w:autoSpaceDN w:val="0"/>
              <w:adjustRightInd w:val="0"/>
              <w:jc w:val="both"/>
              <w:rPr>
                <w:szCs w:val="22"/>
                <w:lang w:val="sv-SE"/>
              </w:rPr>
            </w:pPr>
          </w:p>
        </w:tc>
        <w:tc>
          <w:tcPr>
            <w:tcW w:w="1858" w:type="dxa"/>
            <w:tcBorders>
              <w:bottom w:val="single" w:sz="4" w:space="0" w:color="auto"/>
            </w:tcBorders>
          </w:tcPr>
          <w:p w14:paraId="6613D42A" w14:textId="77777777" w:rsidR="000D44B0" w:rsidRPr="009A4537" w:rsidRDefault="000D44B0" w:rsidP="00D63CDE">
            <w:pPr>
              <w:autoSpaceDE w:val="0"/>
              <w:autoSpaceDN w:val="0"/>
              <w:adjustRightInd w:val="0"/>
              <w:rPr>
                <w:szCs w:val="22"/>
                <w:lang w:val="sv-SE"/>
              </w:rPr>
            </w:pPr>
            <w:r w:rsidRPr="009A4537">
              <w:rPr>
                <w:szCs w:val="22"/>
                <w:lang w:val="sv-SE"/>
              </w:rPr>
              <w:t>Viktökning, hjärtblåsljud, förhöjning av alkalisk</w:t>
            </w:r>
            <w:r w:rsidR="00A94599" w:rsidRPr="009A4537">
              <w:rPr>
                <w:szCs w:val="22"/>
                <w:lang w:val="sv-SE"/>
              </w:rPr>
              <w:t>t</w:t>
            </w:r>
            <w:r w:rsidRPr="009A4537">
              <w:rPr>
                <w:szCs w:val="22"/>
                <w:lang w:val="sv-SE"/>
              </w:rPr>
              <w:t xml:space="preserve"> fosfatas</w:t>
            </w:r>
          </w:p>
        </w:tc>
        <w:tc>
          <w:tcPr>
            <w:tcW w:w="1858" w:type="dxa"/>
            <w:tcBorders>
              <w:bottom w:val="single" w:sz="4" w:space="0" w:color="auto"/>
            </w:tcBorders>
          </w:tcPr>
          <w:p w14:paraId="21BF3AEF" w14:textId="77777777" w:rsidR="000D44B0" w:rsidRPr="009A4537" w:rsidRDefault="000D44B0" w:rsidP="00D63CDE">
            <w:pPr>
              <w:autoSpaceDE w:val="0"/>
              <w:autoSpaceDN w:val="0"/>
              <w:adjustRightInd w:val="0"/>
              <w:jc w:val="both"/>
              <w:rPr>
                <w:szCs w:val="22"/>
                <w:lang w:val="sv-SE"/>
              </w:rPr>
            </w:pPr>
          </w:p>
        </w:tc>
      </w:tr>
      <w:tr w:rsidR="000D44B0" w:rsidRPr="00752ACE" w14:paraId="73922158" w14:textId="77777777" w:rsidTr="00D63CDE">
        <w:tc>
          <w:tcPr>
            <w:tcW w:w="9287" w:type="dxa"/>
            <w:gridSpan w:val="5"/>
            <w:tcBorders>
              <w:top w:val="single" w:sz="4" w:space="0" w:color="auto"/>
              <w:left w:val="nil"/>
              <w:bottom w:val="nil"/>
              <w:right w:val="nil"/>
            </w:tcBorders>
          </w:tcPr>
          <w:p w14:paraId="2260B87C" w14:textId="77777777" w:rsidR="000D44B0" w:rsidRPr="009A4537" w:rsidRDefault="000D44B0" w:rsidP="00D63CDE">
            <w:pPr>
              <w:autoSpaceDE w:val="0"/>
              <w:autoSpaceDN w:val="0"/>
              <w:adjustRightInd w:val="0"/>
              <w:rPr>
                <w:szCs w:val="22"/>
                <w:lang w:val="sv-SE"/>
              </w:rPr>
            </w:pPr>
            <w:r w:rsidRPr="009A4537">
              <w:rPr>
                <w:szCs w:val="22"/>
                <w:lang w:val="sv-SE"/>
              </w:rPr>
              <w:t>* Det finns rapporter om svåra fall av kramp i ryggen eller smärta inom några minuter efter injektionen.</w:t>
            </w:r>
          </w:p>
        </w:tc>
      </w:tr>
    </w:tbl>
    <w:p w14:paraId="481624EE" w14:textId="77777777" w:rsidR="005A357F" w:rsidRPr="009A4537" w:rsidRDefault="005A357F">
      <w:pPr>
        <w:suppressAutoHyphens/>
        <w:rPr>
          <w:szCs w:val="22"/>
          <w:lang w:val="sv-SE"/>
        </w:rPr>
      </w:pPr>
    </w:p>
    <w:p w14:paraId="149390F6" w14:textId="77777777" w:rsidR="006B5BAC" w:rsidRPr="009A4537" w:rsidRDefault="006B5BAC">
      <w:pPr>
        <w:suppressAutoHyphens/>
        <w:rPr>
          <w:szCs w:val="22"/>
          <w:u w:val="single"/>
          <w:lang w:val="sv-SE"/>
        </w:rPr>
      </w:pPr>
      <w:r w:rsidRPr="009A4537">
        <w:rPr>
          <w:szCs w:val="22"/>
          <w:u w:val="single"/>
          <w:lang w:val="sv-SE"/>
        </w:rPr>
        <w:t>Beskrivning av utvalda biverkningar</w:t>
      </w:r>
    </w:p>
    <w:p w14:paraId="7C2CE051" w14:textId="77777777" w:rsidR="00521E78" w:rsidRPr="009A4537" w:rsidRDefault="00521E78">
      <w:pPr>
        <w:suppressAutoHyphens/>
        <w:rPr>
          <w:szCs w:val="22"/>
          <w:u w:val="single"/>
          <w:lang w:val="sv-SE"/>
        </w:rPr>
      </w:pPr>
    </w:p>
    <w:p w14:paraId="60A6710B" w14:textId="77777777" w:rsidR="0072651E" w:rsidRPr="009A4537" w:rsidRDefault="0072651E">
      <w:pPr>
        <w:suppressAutoHyphens/>
        <w:rPr>
          <w:szCs w:val="22"/>
          <w:lang w:val="sv-SE"/>
        </w:rPr>
      </w:pPr>
      <w:r w:rsidRPr="009A4537">
        <w:rPr>
          <w:szCs w:val="22"/>
          <w:lang w:val="sv-SE"/>
        </w:rPr>
        <w:t>Följande biverkningar rapporterades i kliniska studier med en frekvensdifferens på ≥</w:t>
      </w:r>
      <w:r w:rsidR="00EF2CE1" w:rsidRPr="009A4537">
        <w:rPr>
          <w:szCs w:val="22"/>
          <w:lang w:val="sv-SE"/>
        </w:rPr>
        <w:t> </w:t>
      </w:r>
      <w:r w:rsidRPr="009A4537">
        <w:rPr>
          <w:szCs w:val="22"/>
          <w:lang w:val="sv-SE"/>
        </w:rPr>
        <w:t>1</w:t>
      </w:r>
      <w:r w:rsidR="00F24277" w:rsidRPr="009A4537">
        <w:rPr>
          <w:szCs w:val="22"/>
          <w:lang w:val="sv-SE"/>
        </w:rPr>
        <w:t> </w:t>
      </w:r>
      <w:r w:rsidRPr="009A4537">
        <w:rPr>
          <w:szCs w:val="22"/>
          <w:lang w:val="sv-SE"/>
        </w:rPr>
        <w:t>% mot placebo</w:t>
      </w:r>
      <w:r w:rsidR="00EF2CE1" w:rsidRPr="009A4537">
        <w:rPr>
          <w:szCs w:val="22"/>
          <w:lang w:val="sv-SE"/>
        </w:rPr>
        <w:t>:</w:t>
      </w:r>
      <w:r w:rsidRPr="009A4537">
        <w:rPr>
          <w:szCs w:val="22"/>
          <w:lang w:val="sv-SE"/>
        </w:rPr>
        <w:t xml:space="preserve"> svindel, illamående, smärta i armar och ben, yrsel, depression, dyspné.</w:t>
      </w:r>
    </w:p>
    <w:p w14:paraId="6C4BA94E" w14:textId="77777777" w:rsidR="0072651E" w:rsidRPr="009A4537" w:rsidRDefault="0072651E">
      <w:pPr>
        <w:suppressAutoHyphens/>
        <w:rPr>
          <w:szCs w:val="22"/>
          <w:lang w:val="sv-SE"/>
        </w:rPr>
      </w:pPr>
    </w:p>
    <w:p w14:paraId="2DAB0E46" w14:textId="77777777" w:rsidR="00FD3E90" w:rsidRPr="009A4537" w:rsidRDefault="000D44B0">
      <w:pPr>
        <w:suppressAutoHyphens/>
        <w:rPr>
          <w:szCs w:val="22"/>
          <w:lang w:val="sv-SE"/>
        </w:rPr>
      </w:pPr>
      <w:r w:rsidRPr="009A4537">
        <w:rPr>
          <w:szCs w:val="22"/>
          <w:lang w:val="sv-SE"/>
        </w:rPr>
        <w:lastRenderedPageBreak/>
        <w:t>Teriparatid</w:t>
      </w:r>
      <w:r w:rsidR="00FD3E90" w:rsidRPr="009A4537">
        <w:rPr>
          <w:szCs w:val="22"/>
          <w:lang w:val="sv-SE"/>
        </w:rPr>
        <w:t xml:space="preserve"> ökar urinsyrakoncentrationen i serum. I de kliniska studierna hade 2,8 % av </w:t>
      </w:r>
      <w:r w:rsidR="00863DB3" w:rsidRPr="009A4537">
        <w:rPr>
          <w:szCs w:val="22"/>
          <w:lang w:val="sv-SE"/>
        </w:rPr>
        <w:t>t</w:t>
      </w:r>
      <w:r w:rsidRPr="009A4537">
        <w:rPr>
          <w:szCs w:val="22"/>
          <w:lang w:val="sv-SE"/>
        </w:rPr>
        <w:t>eriparatid</w:t>
      </w:r>
      <w:r w:rsidR="00FD3E90" w:rsidRPr="009A4537">
        <w:rPr>
          <w:szCs w:val="22"/>
          <w:lang w:val="sv-SE"/>
        </w:rPr>
        <w:t>patienterna urinsyrakoncentrationer överstigande övre normalgränsen, jämfört med 0,7 % av placebopatienterna. Hyperuri</w:t>
      </w:r>
      <w:r w:rsidR="00F24277" w:rsidRPr="009A4537">
        <w:rPr>
          <w:szCs w:val="22"/>
          <w:lang w:val="sv-SE"/>
        </w:rPr>
        <w:t>k</w:t>
      </w:r>
      <w:r w:rsidR="00FD3E90" w:rsidRPr="009A4537">
        <w:rPr>
          <w:szCs w:val="22"/>
          <w:lang w:val="sv-SE"/>
        </w:rPr>
        <w:t>emin ledde dock inte till ökad gikt, artralgi eller urolitiasis.</w:t>
      </w:r>
    </w:p>
    <w:p w14:paraId="164F4D81" w14:textId="77777777" w:rsidR="00FD3E90" w:rsidRPr="009A4537" w:rsidRDefault="00FD3E90">
      <w:pPr>
        <w:suppressAutoHyphens/>
        <w:rPr>
          <w:szCs w:val="22"/>
          <w:lang w:val="sv-SE"/>
        </w:rPr>
      </w:pPr>
    </w:p>
    <w:p w14:paraId="7B5CF892" w14:textId="77777777" w:rsidR="00FD3E90" w:rsidRPr="009A4537" w:rsidRDefault="00FD3E90">
      <w:pPr>
        <w:suppressAutoHyphens/>
        <w:rPr>
          <w:szCs w:val="22"/>
          <w:lang w:val="sv-SE"/>
        </w:rPr>
      </w:pPr>
      <w:r w:rsidRPr="009A4537">
        <w:rPr>
          <w:szCs w:val="22"/>
          <w:lang w:val="sv-SE"/>
        </w:rPr>
        <w:t>I en stor klinisk studie</w:t>
      </w:r>
      <w:r w:rsidR="000D44B0" w:rsidRPr="009A4537">
        <w:rPr>
          <w:szCs w:val="22"/>
          <w:lang w:val="sv-SE"/>
        </w:rPr>
        <w:t xml:space="preserve"> för ett annat teriparatidläkemedel</w:t>
      </w:r>
      <w:r w:rsidRPr="009A4537">
        <w:rPr>
          <w:szCs w:val="22"/>
          <w:lang w:val="sv-SE"/>
        </w:rPr>
        <w:t xml:space="preserve"> påvisades antikroppar, som korsreagerade med </w:t>
      </w:r>
      <w:r w:rsidR="00546C2E" w:rsidRPr="009A4537">
        <w:rPr>
          <w:szCs w:val="22"/>
          <w:lang w:val="sv-SE"/>
        </w:rPr>
        <w:t xml:space="preserve">det </w:t>
      </w:r>
      <w:r w:rsidRPr="009A4537">
        <w:rPr>
          <w:szCs w:val="22"/>
          <w:lang w:val="sv-SE"/>
        </w:rPr>
        <w:t>teriparatid</w:t>
      </w:r>
      <w:r w:rsidR="00546C2E" w:rsidRPr="009A4537">
        <w:rPr>
          <w:szCs w:val="22"/>
          <w:lang w:val="sv-SE"/>
        </w:rPr>
        <w:t>läk</w:t>
      </w:r>
      <w:r w:rsidR="00863DB3" w:rsidRPr="009A4537">
        <w:rPr>
          <w:szCs w:val="22"/>
          <w:lang w:val="sv-SE"/>
        </w:rPr>
        <w:t>e</w:t>
      </w:r>
      <w:r w:rsidR="00546C2E" w:rsidRPr="009A4537">
        <w:rPr>
          <w:szCs w:val="22"/>
          <w:lang w:val="sv-SE"/>
        </w:rPr>
        <w:t>medlet</w:t>
      </w:r>
      <w:r w:rsidRPr="009A4537">
        <w:rPr>
          <w:szCs w:val="22"/>
          <w:lang w:val="sv-SE"/>
        </w:rPr>
        <w:t>, hos 2,8 % av de kvinnor. I allmänhet påvisades antikroppar först efter 12</w:t>
      </w:r>
      <w:r w:rsidR="00F73DE8" w:rsidRPr="009A4537">
        <w:rPr>
          <w:szCs w:val="22"/>
          <w:lang w:val="sv-SE"/>
        </w:rPr>
        <w:t> </w:t>
      </w:r>
      <w:r w:rsidRPr="009A4537">
        <w:rPr>
          <w:szCs w:val="22"/>
          <w:lang w:val="sv-SE"/>
        </w:rPr>
        <w:t xml:space="preserve">månaders behandling och de minskade efter det att behandlingen utsatts. Det fanns inget som tydde på överkänslighetsreaktioner, allergiska reaktioner, effekter på serumkalcium eller effekter på </w:t>
      </w:r>
      <w:r w:rsidR="006B5BAC" w:rsidRPr="009A4537">
        <w:rPr>
          <w:szCs w:val="22"/>
          <w:lang w:val="sv-SE"/>
        </w:rPr>
        <w:t>benmineraltätheten (</w:t>
      </w:r>
      <w:r w:rsidRPr="009A4537">
        <w:rPr>
          <w:szCs w:val="22"/>
          <w:lang w:val="sv-SE"/>
        </w:rPr>
        <w:t>BMD</w:t>
      </w:r>
      <w:r w:rsidR="006B5BAC" w:rsidRPr="009A4537">
        <w:rPr>
          <w:szCs w:val="22"/>
          <w:lang w:val="sv-SE"/>
        </w:rPr>
        <w:t>)</w:t>
      </w:r>
      <w:r w:rsidRPr="009A4537">
        <w:rPr>
          <w:szCs w:val="22"/>
          <w:lang w:val="sv-SE"/>
        </w:rPr>
        <w:t>.</w:t>
      </w:r>
    </w:p>
    <w:p w14:paraId="38B8E769" w14:textId="77777777" w:rsidR="001042AE" w:rsidRPr="009A4537" w:rsidRDefault="001042AE">
      <w:pPr>
        <w:suppressAutoHyphens/>
        <w:rPr>
          <w:szCs w:val="22"/>
          <w:lang w:val="sv-SE"/>
        </w:rPr>
      </w:pPr>
    </w:p>
    <w:p w14:paraId="2892700D" w14:textId="77777777" w:rsidR="00521E78" w:rsidRPr="009A4537" w:rsidRDefault="001042AE" w:rsidP="00521E78">
      <w:pPr>
        <w:tabs>
          <w:tab w:val="left" w:pos="567"/>
        </w:tabs>
        <w:suppressAutoHyphens/>
        <w:spacing w:line="260" w:lineRule="exact"/>
        <w:rPr>
          <w:rFonts w:eastAsia="Calibri"/>
          <w:szCs w:val="22"/>
          <w:u w:val="single"/>
          <w:lang w:val="sv-SE"/>
        </w:rPr>
      </w:pPr>
      <w:r w:rsidRPr="009A4537">
        <w:rPr>
          <w:rFonts w:eastAsia="Calibri"/>
          <w:szCs w:val="22"/>
          <w:u w:val="single"/>
          <w:lang w:val="sv-SE"/>
        </w:rPr>
        <w:t>Rapportering av misstänkta biverkningar</w:t>
      </w:r>
    </w:p>
    <w:p w14:paraId="14E17273" w14:textId="77777777" w:rsidR="00546C2E" w:rsidRPr="009A4537" w:rsidRDefault="00546C2E" w:rsidP="00521E78">
      <w:pPr>
        <w:tabs>
          <w:tab w:val="left" w:pos="567"/>
        </w:tabs>
        <w:suppressAutoHyphens/>
        <w:spacing w:line="260" w:lineRule="exact"/>
        <w:rPr>
          <w:rFonts w:eastAsia="Calibri"/>
          <w:szCs w:val="22"/>
          <w:lang w:val="sv-SE"/>
        </w:rPr>
      </w:pPr>
    </w:p>
    <w:p w14:paraId="6F1F3B65" w14:textId="77777777" w:rsidR="00E45DD4" w:rsidRDefault="00B13299" w:rsidP="00521E78">
      <w:pPr>
        <w:tabs>
          <w:tab w:val="left" w:pos="567"/>
        </w:tabs>
        <w:suppressAutoHyphens/>
        <w:spacing w:line="260" w:lineRule="exact"/>
        <w:rPr>
          <w:noProof/>
          <w:szCs w:val="22"/>
          <w:lang w:val="sv-SE" w:eastAsia="zh-CN"/>
        </w:rPr>
      </w:pPr>
      <w:r w:rsidRPr="009A4537">
        <w:rPr>
          <w:noProof/>
          <w:szCs w:val="22"/>
          <w:lang w:val="sv-SE" w:eastAsia="zh-CN"/>
        </w:rPr>
        <w:t>Det är viktigt att rapportera misstänkta biverkningar efter att läkemedlet godkänts.</w:t>
      </w:r>
      <w:r w:rsidRPr="009A4537">
        <w:rPr>
          <w:szCs w:val="22"/>
          <w:lang w:val="sv-SE" w:eastAsia="zh-CN"/>
        </w:rPr>
        <w:t xml:space="preserve"> </w:t>
      </w:r>
      <w:r w:rsidRPr="009A4537">
        <w:rPr>
          <w:noProof/>
          <w:szCs w:val="22"/>
          <w:lang w:val="sv-SE" w:eastAsia="zh-CN"/>
        </w:rPr>
        <w:t>Det gör det möjligt att kontinuerligt övervaka läkemedlets nytta-riskförhållande.</w:t>
      </w:r>
      <w:r w:rsidRPr="009A4537">
        <w:rPr>
          <w:szCs w:val="22"/>
          <w:lang w:val="sv-SE" w:eastAsia="zh-CN"/>
        </w:rPr>
        <w:t xml:space="preserve"> </w:t>
      </w:r>
      <w:r w:rsidRPr="009A4537">
        <w:rPr>
          <w:noProof/>
          <w:szCs w:val="22"/>
          <w:lang w:val="sv-SE" w:eastAsia="zh-CN"/>
        </w:rPr>
        <w:t xml:space="preserve">Hälso- och sjukvårdspersonal uppmanas att rapportera varje misstänkt biverkning via </w:t>
      </w:r>
    </w:p>
    <w:p w14:paraId="4AFDC74A" w14:textId="77777777" w:rsidR="00E45DD4" w:rsidRDefault="00E45DD4" w:rsidP="00521E78">
      <w:pPr>
        <w:tabs>
          <w:tab w:val="left" w:pos="567"/>
        </w:tabs>
        <w:suppressAutoHyphens/>
        <w:spacing w:line="260" w:lineRule="exact"/>
        <w:rPr>
          <w:noProof/>
          <w:szCs w:val="22"/>
          <w:lang w:val="sv-SE" w:eastAsia="zh-CN"/>
        </w:rPr>
      </w:pPr>
    </w:p>
    <w:p w14:paraId="7237AA94" w14:textId="4BA0B179" w:rsidR="00E45DD4" w:rsidRPr="00E45DD4" w:rsidRDefault="00E45DD4" w:rsidP="00521E78">
      <w:pPr>
        <w:tabs>
          <w:tab w:val="left" w:pos="567"/>
        </w:tabs>
        <w:suppressAutoHyphens/>
        <w:spacing w:line="260" w:lineRule="exact"/>
        <w:rPr>
          <w:noProof/>
          <w:szCs w:val="22"/>
          <w:lang w:val="sv-SE" w:eastAsia="zh-CN"/>
        </w:rPr>
      </w:pPr>
      <w:r w:rsidRPr="00E45DD4">
        <w:rPr>
          <w:noProof/>
          <w:szCs w:val="22"/>
          <w:lang w:val="sv-SE" w:eastAsia="zh-CN"/>
        </w:rPr>
        <w:t>webbplats: www.fimea.fi</w:t>
      </w:r>
      <w:r w:rsidRPr="00E45DD4">
        <w:rPr>
          <w:noProof/>
          <w:szCs w:val="22"/>
          <w:lang w:val="sv-SE" w:eastAsia="zh-CN"/>
        </w:rPr>
        <w:br/>
        <w:t>Säkerhets- och utvecklingscentret för läkemedelsområdet Fimea</w:t>
      </w:r>
      <w:r w:rsidRPr="00E45DD4">
        <w:rPr>
          <w:noProof/>
          <w:szCs w:val="22"/>
          <w:lang w:val="sv-SE" w:eastAsia="zh-CN"/>
        </w:rPr>
        <w:br/>
        <w:t>Biverkningsregistret</w:t>
      </w:r>
      <w:r w:rsidRPr="00E45DD4">
        <w:rPr>
          <w:noProof/>
          <w:szCs w:val="22"/>
          <w:lang w:val="sv-SE" w:eastAsia="zh-CN"/>
        </w:rPr>
        <w:br/>
        <w:t>PB 55</w:t>
      </w:r>
      <w:r w:rsidRPr="00E45DD4">
        <w:rPr>
          <w:noProof/>
          <w:szCs w:val="22"/>
          <w:lang w:val="sv-SE" w:eastAsia="zh-CN"/>
        </w:rPr>
        <w:br/>
        <w:t>00034 FIMEA</w:t>
      </w:r>
    </w:p>
    <w:p w14:paraId="27F06372" w14:textId="13C48827" w:rsidR="00B13299" w:rsidRPr="009A4537" w:rsidRDefault="00B13299" w:rsidP="00521E78">
      <w:pPr>
        <w:tabs>
          <w:tab w:val="left" w:pos="567"/>
        </w:tabs>
        <w:suppressAutoHyphens/>
        <w:spacing w:line="260" w:lineRule="exact"/>
        <w:rPr>
          <w:noProof/>
          <w:szCs w:val="22"/>
          <w:lang w:val="sv-SE" w:eastAsia="zh-CN"/>
        </w:rPr>
      </w:pPr>
    </w:p>
    <w:p w14:paraId="4C23D2B2" w14:textId="77777777" w:rsidR="000B72B2" w:rsidRPr="009A4537" w:rsidRDefault="000B72B2">
      <w:pPr>
        <w:suppressAutoHyphens/>
        <w:rPr>
          <w:szCs w:val="22"/>
          <w:lang w:val="sv-SE"/>
        </w:rPr>
      </w:pPr>
    </w:p>
    <w:p w14:paraId="1556DF0B" w14:textId="77777777" w:rsidR="00FD3E90" w:rsidRPr="009A4537" w:rsidRDefault="00FD3E90" w:rsidP="006908B4">
      <w:pPr>
        <w:keepNext/>
        <w:suppressAutoHyphens/>
        <w:ind w:left="567" w:hanging="567"/>
        <w:rPr>
          <w:szCs w:val="22"/>
          <w:lang w:val="sv-SE"/>
        </w:rPr>
      </w:pPr>
      <w:r w:rsidRPr="009A4537">
        <w:rPr>
          <w:b/>
          <w:szCs w:val="22"/>
          <w:lang w:val="sv-SE"/>
        </w:rPr>
        <w:t>4.9</w:t>
      </w:r>
      <w:r w:rsidRPr="009A4537">
        <w:rPr>
          <w:b/>
          <w:szCs w:val="22"/>
          <w:lang w:val="sv-SE"/>
        </w:rPr>
        <w:tab/>
        <w:t>Överdosering</w:t>
      </w:r>
    </w:p>
    <w:p w14:paraId="40B75D72" w14:textId="77777777" w:rsidR="00FD3E90" w:rsidRPr="009A4537" w:rsidRDefault="00FD3E90" w:rsidP="006908B4">
      <w:pPr>
        <w:keepNext/>
        <w:suppressAutoHyphens/>
        <w:rPr>
          <w:szCs w:val="22"/>
          <w:lang w:val="sv-SE"/>
        </w:rPr>
      </w:pPr>
    </w:p>
    <w:p w14:paraId="5588BDF2" w14:textId="77777777" w:rsidR="00FD3E90" w:rsidRPr="009A4537" w:rsidRDefault="00FD3E90" w:rsidP="006908B4">
      <w:pPr>
        <w:pStyle w:val="Heading6"/>
        <w:rPr>
          <w:iCs/>
          <w:color w:val="auto"/>
          <w:sz w:val="22"/>
          <w:szCs w:val="22"/>
          <w:u w:val="single"/>
          <w:lang w:val="sv-SE"/>
        </w:rPr>
      </w:pPr>
      <w:r w:rsidRPr="009A4537">
        <w:rPr>
          <w:iCs/>
          <w:color w:val="auto"/>
          <w:sz w:val="22"/>
          <w:szCs w:val="22"/>
          <w:u w:val="single"/>
          <w:lang w:val="sv-SE"/>
        </w:rPr>
        <w:t>Tecken och symtom</w:t>
      </w:r>
    </w:p>
    <w:p w14:paraId="79EBDD74" w14:textId="77777777" w:rsidR="00521E78" w:rsidRPr="009A4537" w:rsidRDefault="00521E78" w:rsidP="00BC14F8">
      <w:pPr>
        <w:rPr>
          <w:lang w:val="sv-SE"/>
        </w:rPr>
      </w:pPr>
    </w:p>
    <w:p w14:paraId="689BA499" w14:textId="77777777" w:rsidR="00FD3E90" w:rsidRPr="009A4537" w:rsidRDefault="00546C2E" w:rsidP="006908B4">
      <w:pPr>
        <w:keepNext/>
        <w:suppressAutoHyphens/>
        <w:rPr>
          <w:szCs w:val="22"/>
          <w:lang w:val="sv-SE"/>
        </w:rPr>
      </w:pPr>
      <w:r w:rsidRPr="009A4537">
        <w:rPr>
          <w:szCs w:val="22"/>
          <w:lang w:val="sv-SE"/>
        </w:rPr>
        <w:t>Teriparatid</w:t>
      </w:r>
      <w:r w:rsidR="00FD3E90" w:rsidRPr="009A4537">
        <w:rPr>
          <w:szCs w:val="22"/>
          <w:lang w:val="sv-SE"/>
        </w:rPr>
        <w:t xml:space="preserve"> har administrerats i enstaka doser upp till 100</w:t>
      </w:r>
      <w:r w:rsidR="00855A33" w:rsidRPr="009A4537">
        <w:rPr>
          <w:szCs w:val="22"/>
          <w:lang w:val="sv-SE"/>
        </w:rPr>
        <w:t> mikro</w:t>
      </w:r>
      <w:r w:rsidR="00FD3E90" w:rsidRPr="009A4537">
        <w:rPr>
          <w:szCs w:val="22"/>
          <w:lang w:val="sv-SE"/>
        </w:rPr>
        <w:t>gram och i upprepad dos upp till 60</w:t>
      </w:r>
      <w:r w:rsidR="00855A33" w:rsidRPr="009A4537">
        <w:rPr>
          <w:szCs w:val="22"/>
          <w:lang w:val="sv-SE"/>
        </w:rPr>
        <w:t> mikro</w:t>
      </w:r>
      <w:r w:rsidR="00FD3E90" w:rsidRPr="009A4537">
        <w:rPr>
          <w:szCs w:val="22"/>
          <w:lang w:val="sv-SE"/>
        </w:rPr>
        <w:t>gram/dag i 6</w:t>
      </w:r>
      <w:r w:rsidRPr="009A4537">
        <w:rPr>
          <w:szCs w:val="22"/>
          <w:lang w:val="sv-SE"/>
        </w:rPr>
        <w:t> </w:t>
      </w:r>
      <w:r w:rsidR="00FD3E90" w:rsidRPr="009A4537">
        <w:rPr>
          <w:szCs w:val="22"/>
          <w:lang w:val="sv-SE"/>
        </w:rPr>
        <w:t>veckor.</w:t>
      </w:r>
    </w:p>
    <w:p w14:paraId="36066C5B" w14:textId="77777777" w:rsidR="00FD3E90" w:rsidRPr="009A4537" w:rsidRDefault="00FD3E90">
      <w:pPr>
        <w:suppressAutoHyphens/>
        <w:rPr>
          <w:szCs w:val="22"/>
          <w:lang w:val="sv-SE"/>
        </w:rPr>
      </w:pPr>
    </w:p>
    <w:p w14:paraId="2F77B2AE" w14:textId="77777777" w:rsidR="00FD3E90" w:rsidRPr="009A4537" w:rsidRDefault="00FD3E90">
      <w:pPr>
        <w:suppressAutoHyphens/>
        <w:rPr>
          <w:szCs w:val="22"/>
          <w:lang w:val="sv-SE"/>
        </w:rPr>
      </w:pPr>
      <w:r w:rsidRPr="009A4537">
        <w:rPr>
          <w:szCs w:val="22"/>
          <w:lang w:val="sv-SE"/>
        </w:rPr>
        <w:t>De förväntade effekterna vid överdosering omfattar fördröjd hyperkalcemi och risk för ortostatisk hypotoni. Illamående, kräkningar, yrsel och huvudvärk kan också uppkomma.</w:t>
      </w:r>
    </w:p>
    <w:p w14:paraId="1E0E8BF7" w14:textId="77777777" w:rsidR="00FD3E90" w:rsidRPr="009A4537" w:rsidRDefault="00FD3E90">
      <w:pPr>
        <w:suppressAutoHyphens/>
        <w:rPr>
          <w:szCs w:val="22"/>
          <w:lang w:val="sv-SE"/>
        </w:rPr>
      </w:pPr>
    </w:p>
    <w:p w14:paraId="2F1C3289" w14:textId="77777777" w:rsidR="00FD3E90" w:rsidRPr="009A4537" w:rsidRDefault="00FD3E90">
      <w:pPr>
        <w:suppressAutoHyphens/>
        <w:rPr>
          <w:iCs/>
          <w:color w:val="000000"/>
          <w:szCs w:val="22"/>
          <w:u w:val="single"/>
          <w:lang w:val="sv-SE"/>
        </w:rPr>
      </w:pPr>
      <w:r w:rsidRPr="009A4537">
        <w:rPr>
          <w:iCs/>
          <w:color w:val="000000"/>
          <w:szCs w:val="22"/>
          <w:u w:val="single"/>
          <w:lang w:val="sv-SE"/>
        </w:rPr>
        <w:t>Erfarenhet av överdosering baserat på spontana biverkningsrapporter efter marknadsföringen</w:t>
      </w:r>
    </w:p>
    <w:p w14:paraId="67CB8743" w14:textId="77777777" w:rsidR="00521E78" w:rsidRPr="009A4537" w:rsidRDefault="00521E78">
      <w:pPr>
        <w:suppressAutoHyphens/>
        <w:rPr>
          <w:iCs/>
          <w:color w:val="000000"/>
          <w:szCs w:val="22"/>
          <w:u w:val="single"/>
          <w:lang w:val="sv-SE"/>
        </w:rPr>
      </w:pPr>
    </w:p>
    <w:p w14:paraId="0610F8D9" w14:textId="77777777" w:rsidR="00FD3E90" w:rsidRPr="009A4537" w:rsidRDefault="00FD3E90">
      <w:pPr>
        <w:suppressAutoHyphens/>
        <w:rPr>
          <w:szCs w:val="22"/>
          <w:lang w:val="sv-SE"/>
        </w:rPr>
      </w:pPr>
      <w:r w:rsidRPr="009A4537">
        <w:rPr>
          <w:szCs w:val="22"/>
          <w:lang w:val="sv-SE"/>
        </w:rPr>
        <w:t xml:space="preserve">Fall av felmedicinering, där hela innehållet i </w:t>
      </w:r>
      <w:r w:rsidR="00546C2E" w:rsidRPr="009A4537">
        <w:rPr>
          <w:szCs w:val="22"/>
          <w:lang w:val="sv-SE"/>
        </w:rPr>
        <w:t>teriparatid</w:t>
      </w:r>
      <w:r w:rsidR="002D68A7" w:rsidRPr="009A4537">
        <w:rPr>
          <w:szCs w:val="22"/>
          <w:lang w:val="sv-SE"/>
        </w:rPr>
        <w:t>injektions</w:t>
      </w:r>
      <w:r w:rsidRPr="009A4537">
        <w:rPr>
          <w:szCs w:val="22"/>
          <w:lang w:val="sv-SE"/>
        </w:rPr>
        <w:t>penna</w:t>
      </w:r>
      <w:r w:rsidR="001A5B27" w:rsidRPr="009A4537">
        <w:rPr>
          <w:szCs w:val="22"/>
          <w:lang w:val="sv-SE"/>
        </w:rPr>
        <w:t>n</w:t>
      </w:r>
      <w:r w:rsidRPr="009A4537">
        <w:rPr>
          <w:szCs w:val="22"/>
          <w:lang w:val="sv-SE"/>
        </w:rPr>
        <w:t xml:space="preserve"> (upp till 800</w:t>
      </w:r>
      <w:r w:rsidR="00855A33" w:rsidRPr="009A4537">
        <w:rPr>
          <w:szCs w:val="22"/>
          <w:lang w:val="sv-SE"/>
        </w:rPr>
        <w:t> mikro</w:t>
      </w:r>
      <w:r w:rsidRPr="009A4537">
        <w:rPr>
          <w:szCs w:val="22"/>
          <w:lang w:val="sv-SE"/>
        </w:rPr>
        <w:t>gram) administrerats som en singeldos, har spontant rapporterats efter marknadsföringen. Övergående biverkningar inkluderande illamående, kraftlöshet/letargi och hypotoni har rapporterats. I vissa fall förekom inga biverkningar på grund av överdosering. Inga dödsfall har rapporterats efter överdosering.</w:t>
      </w:r>
    </w:p>
    <w:p w14:paraId="542758B3" w14:textId="77777777" w:rsidR="00FD3E90" w:rsidRPr="009A4537" w:rsidRDefault="00FD3E90">
      <w:pPr>
        <w:suppressAutoHyphens/>
        <w:rPr>
          <w:szCs w:val="22"/>
          <w:lang w:val="sv-SE"/>
        </w:rPr>
      </w:pPr>
    </w:p>
    <w:p w14:paraId="0482A9E4" w14:textId="77777777" w:rsidR="00FD3E90" w:rsidRPr="009A4537" w:rsidRDefault="00FD3E90">
      <w:pPr>
        <w:pStyle w:val="Heading6"/>
        <w:rPr>
          <w:iCs/>
          <w:color w:val="auto"/>
          <w:sz w:val="22"/>
          <w:szCs w:val="22"/>
          <w:u w:val="single"/>
          <w:lang w:val="sv-SE"/>
        </w:rPr>
      </w:pPr>
      <w:r w:rsidRPr="009A4537">
        <w:rPr>
          <w:iCs/>
          <w:color w:val="auto"/>
          <w:sz w:val="22"/>
          <w:szCs w:val="22"/>
          <w:u w:val="single"/>
          <w:lang w:val="sv-SE"/>
        </w:rPr>
        <w:t>Behandling</w:t>
      </w:r>
    </w:p>
    <w:p w14:paraId="23BC41A8" w14:textId="77777777" w:rsidR="00521E78" w:rsidRPr="009A4537" w:rsidRDefault="00521E78" w:rsidP="00BC14F8">
      <w:pPr>
        <w:rPr>
          <w:lang w:val="sv-SE"/>
        </w:rPr>
      </w:pPr>
    </w:p>
    <w:p w14:paraId="082F9BDB" w14:textId="77777777" w:rsidR="00FD3E90" w:rsidRPr="009A4537" w:rsidRDefault="00FD3E90">
      <w:pPr>
        <w:suppressAutoHyphens/>
        <w:rPr>
          <w:szCs w:val="22"/>
          <w:lang w:val="sv-SE"/>
        </w:rPr>
      </w:pPr>
      <w:r w:rsidRPr="009A4537">
        <w:rPr>
          <w:szCs w:val="22"/>
          <w:lang w:val="sv-SE"/>
        </w:rPr>
        <w:t xml:space="preserve">Det finns ingen specifik antidot för </w:t>
      </w:r>
      <w:r w:rsidR="00546C2E" w:rsidRPr="009A4537">
        <w:rPr>
          <w:szCs w:val="22"/>
          <w:lang w:val="sv-SE"/>
        </w:rPr>
        <w:t>teriparatid</w:t>
      </w:r>
      <w:r w:rsidRPr="009A4537">
        <w:rPr>
          <w:szCs w:val="22"/>
          <w:lang w:val="sv-SE"/>
        </w:rPr>
        <w:t>. Behandling av misstänkt överdos bör innefatta tillfälligt avbrott av tillförseln, uppföljande kontroll av serumkalcium och insättande av adekvata understödjande åtgärder, som t</w:t>
      </w:r>
      <w:r w:rsidR="00546C2E" w:rsidRPr="009A4537">
        <w:rPr>
          <w:szCs w:val="22"/>
          <w:lang w:val="sv-SE"/>
        </w:rPr>
        <w:t>.</w:t>
      </w:r>
      <w:r w:rsidRPr="009A4537">
        <w:rPr>
          <w:szCs w:val="22"/>
          <w:lang w:val="sv-SE"/>
        </w:rPr>
        <w:t>ex</w:t>
      </w:r>
      <w:r w:rsidR="00546C2E" w:rsidRPr="009A4537">
        <w:rPr>
          <w:szCs w:val="22"/>
          <w:lang w:val="sv-SE"/>
        </w:rPr>
        <w:t>.</w:t>
      </w:r>
      <w:r w:rsidRPr="009A4537">
        <w:rPr>
          <w:szCs w:val="22"/>
          <w:lang w:val="sv-SE"/>
        </w:rPr>
        <w:t xml:space="preserve"> hydrering.</w:t>
      </w:r>
    </w:p>
    <w:p w14:paraId="257AE186" w14:textId="77777777" w:rsidR="00FD3E90" w:rsidRPr="009A4537" w:rsidRDefault="00FD3E90">
      <w:pPr>
        <w:suppressAutoHyphens/>
        <w:rPr>
          <w:szCs w:val="22"/>
          <w:lang w:val="sv-SE"/>
        </w:rPr>
      </w:pPr>
    </w:p>
    <w:p w14:paraId="762A97A9" w14:textId="77777777" w:rsidR="00FD3E90" w:rsidRPr="009A4537" w:rsidRDefault="00FD3E90">
      <w:pPr>
        <w:suppressAutoHyphens/>
        <w:rPr>
          <w:szCs w:val="22"/>
          <w:lang w:val="sv-SE"/>
        </w:rPr>
      </w:pPr>
    </w:p>
    <w:p w14:paraId="5B092142" w14:textId="77777777" w:rsidR="00FD3E90" w:rsidRPr="009A4537" w:rsidRDefault="00FD3E90">
      <w:pPr>
        <w:suppressAutoHyphens/>
        <w:ind w:left="567" w:hanging="567"/>
        <w:rPr>
          <w:szCs w:val="22"/>
          <w:lang w:val="sv-SE"/>
        </w:rPr>
      </w:pPr>
      <w:r w:rsidRPr="009A4537">
        <w:rPr>
          <w:b/>
          <w:szCs w:val="22"/>
          <w:lang w:val="sv-SE"/>
        </w:rPr>
        <w:t>5.</w:t>
      </w:r>
      <w:r w:rsidRPr="009A4537">
        <w:rPr>
          <w:b/>
          <w:szCs w:val="22"/>
          <w:lang w:val="sv-SE"/>
        </w:rPr>
        <w:tab/>
        <w:t>FARMAKOLOGISKA EGENSKAPER</w:t>
      </w:r>
    </w:p>
    <w:p w14:paraId="084DCC5A" w14:textId="77777777" w:rsidR="00FD3E90" w:rsidRPr="009A4537" w:rsidRDefault="00FD3E90">
      <w:pPr>
        <w:suppressAutoHyphens/>
        <w:rPr>
          <w:szCs w:val="22"/>
          <w:lang w:val="sv-SE"/>
        </w:rPr>
      </w:pPr>
    </w:p>
    <w:p w14:paraId="2BA55756" w14:textId="77777777" w:rsidR="00FD3E90" w:rsidRPr="009A4537" w:rsidRDefault="00FD3E90">
      <w:pPr>
        <w:suppressAutoHyphens/>
        <w:ind w:left="567" w:hanging="567"/>
        <w:rPr>
          <w:szCs w:val="22"/>
          <w:lang w:val="sv-SE"/>
        </w:rPr>
      </w:pPr>
      <w:r w:rsidRPr="009A4537">
        <w:rPr>
          <w:b/>
          <w:szCs w:val="22"/>
          <w:lang w:val="sv-SE"/>
        </w:rPr>
        <w:t>5.1</w:t>
      </w:r>
      <w:r w:rsidRPr="009A4537">
        <w:rPr>
          <w:b/>
          <w:szCs w:val="22"/>
          <w:lang w:val="sv-SE"/>
        </w:rPr>
        <w:tab/>
        <w:t>Farmakodynamiska egenskaper</w:t>
      </w:r>
    </w:p>
    <w:p w14:paraId="01145264" w14:textId="77777777" w:rsidR="00FD3E90" w:rsidRPr="009A4537" w:rsidRDefault="00FD3E90">
      <w:pPr>
        <w:suppressAutoHyphens/>
        <w:rPr>
          <w:szCs w:val="22"/>
          <w:lang w:val="sv-SE"/>
        </w:rPr>
      </w:pPr>
    </w:p>
    <w:p w14:paraId="03A97922" w14:textId="77777777" w:rsidR="00FD3E90" w:rsidRPr="009A4537" w:rsidRDefault="00FD3E90">
      <w:pPr>
        <w:suppressAutoHyphens/>
        <w:rPr>
          <w:szCs w:val="22"/>
          <w:lang w:val="sv-SE"/>
        </w:rPr>
      </w:pPr>
      <w:r w:rsidRPr="009A4537">
        <w:rPr>
          <w:szCs w:val="22"/>
          <w:lang w:val="sv-SE"/>
        </w:rPr>
        <w:t xml:space="preserve">Farmakoterapeutisk grupp: </w:t>
      </w:r>
      <w:r w:rsidR="009817D6" w:rsidRPr="009A4537">
        <w:rPr>
          <w:szCs w:val="22"/>
          <w:lang w:val="sv-SE"/>
        </w:rPr>
        <w:t>Kalciumhomeostas, p</w:t>
      </w:r>
      <w:r w:rsidR="0072651E" w:rsidRPr="009A4537">
        <w:rPr>
          <w:szCs w:val="22"/>
          <w:lang w:val="sv-SE"/>
        </w:rPr>
        <w:t>aratyreoidea hormoner och analoger</w:t>
      </w:r>
      <w:r w:rsidRPr="009A4537">
        <w:rPr>
          <w:szCs w:val="22"/>
          <w:lang w:val="sv-SE"/>
        </w:rPr>
        <w:t xml:space="preserve">, ATC-kod: </w:t>
      </w:r>
      <w:r w:rsidR="0072651E" w:rsidRPr="009A4537">
        <w:rPr>
          <w:szCs w:val="22"/>
          <w:lang w:val="sv-SE"/>
        </w:rPr>
        <w:t>H05AA0</w:t>
      </w:r>
      <w:r w:rsidR="00B72D9C" w:rsidRPr="009A4537">
        <w:rPr>
          <w:szCs w:val="22"/>
          <w:lang w:val="sv-SE"/>
        </w:rPr>
        <w:t>2</w:t>
      </w:r>
      <w:r w:rsidR="0072651E" w:rsidRPr="009A4537">
        <w:rPr>
          <w:szCs w:val="22"/>
          <w:lang w:val="sv-SE"/>
        </w:rPr>
        <w:t>.</w:t>
      </w:r>
    </w:p>
    <w:p w14:paraId="1798C6AD" w14:textId="77777777" w:rsidR="00FD3E90" w:rsidRPr="009A4537" w:rsidRDefault="00FD3E90">
      <w:pPr>
        <w:suppressAutoHyphens/>
        <w:rPr>
          <w:szCs w:val="22"/>
          <w:lang w:val="sv-SE"/>
        </w:rPr>
      </w:pPr>
    </w:p>
    <w:p w14:paraId="5B0A9818" w14:textId="77777777" w:rsidR="00546C2E" w:rsidRPr="009A4537" w:rsidRDefault="00546C2E">
      <w:pPr>
        <w:suppressAutoHyphens/>
        <w:rPr>
          <w:lang w:val="sv-SE"/>
        </w:rPr>
      </w:pPr>
      <w:r w:rsidRPr="009A4537">
        <w:rPr>
          <w:szCs w:val="22"/>
          <w:lang w:val="sv-SE"/>
        </w:rPr>
        <w:t xml:space="preserve">Sondelbay </w:t>
      </w:r>
      <w:r w:rsidRPr="009A4537">
        <w:rPr>
          <w:lang w:val="sv-SE"/>
        </w:rPr>
        <w:t xml:space="preserve">tillhör gruppen ”biosimilars”. Ytterligare information om detta läkemedel finns på Europeiska läkemedelsmyndighetens webbplats </w:t>
      </w:r>
      <w:hyperlink r:id="rId13" w:history="1">
        <w:r w:rsidRPr="009A4537">
          <w:rPr>
            <w:rStyle w:val="Hyperlink"/>
            <w:noProof/>
            <w:lang w:val="sv-SE"/>
          </w:rPr>
          <w:t>http://www.ema.europa.eu</w:t>
        </w:r>
        <w:r w:rsidRPr="009A4537">
          <w:rPr>
            <w:rStyle w:val="Hyperlink"/>
            <w:lang w:val="sv-SE"/>
          </w:rPr>
          <w:t>/</w:t>
        </w:r>
      </w:hyperlink>
      <w:r w:rsidRPr="009A4537">
        <w:rPr>
          <w:color w:val="0000FF"/>
          <w:lang w:val="sv-SE"/>
        </w:rPr>
        <w:t>.</w:t>
      </w:r>
    </w:p>
    <w:p w14:paraId="4079C8F6" w14:textId="77777777" w:rsidR="00546C2E" w:rsidRPr="009A4537" w:rsidRDefault="00546C2E">
      <w:pPr>
        <w:suppressAutoHyphens/>
        <w:rPr>
          <w:szCs w:val="22"/>
          <w:lang w:val="sv-SE"/>
        </w:rPr>
      </w:pPr>
    </w:p>
    <w:p w14:paraId="1B1F552B" w14:textId="77777777" w:rsidR="00FD3E90" w:rsidRPr="009A4537" w:rsidRDefault="00FD3E90">
      <w:pPr>
        <w:pStyle w:val="Heading4"/>
        <w:jc w:val="left"/>
        <w:rPr>
          <w:b w:val="0"/>
          <w:sz w:val="22"/>
          <w:szCs w:val="22"/>
          <w:u w:val="single"/>
          <w:lang w:val="sv-SE"/>
        </w:rPr>
      </w:pPr>
      <w:r w:rsidRPr="009A4537">
        <w:rPr>
          <w:b w:val="0"/>
          <w:sz w:val="22"/>
          <w:szCs w:val="22"/>
          <w:u w:val="single"/>
          <w:lang w:val="sv-SE"/>
        </w:rPr>
        <w:t>Verkningsmekanism</w:t>
      </w:r>
    </w:p>
    <w:p w14:paraId="1C131742" w14:textId="77777777" w:rsidR="00521E78" w:rsidRPr="009A4537" w:rsidRDefault="00521E78" w:rsidP="00BC14F8">
      <w:pPr>
        <w:rPr>
          <w:lang w:val="sv-SE"/>
        </w:rPr>
      </w:pPr>
    </w:p>
    <w:p w14:paraId="23700124" w14:textId="77777777" w:rsidR="00FD3E90" w:rsidRPr="009A4537" w:rsidRDefault="00FD3E90">
      <w:pPr>
        <w:pStyle w:val="BodyText"/>
        <w:rPr>
          <w:iCs/>
          <w:szCs w:val="22"/>
          <w:lang w:val="sv-SE"/>
        </w:rPr>
      </w:pPr>
      <w:r w:rsidRPr="009A4537">
        <w:rPr>
          <w:iCs/>
          <w:szCs w:val="22"/>
          <w:lang w:val="sv-SE"/>
        </w:rPr>
        <w:t>Endogent parathormon (PTH), innehållande 84</w:t>
      </w:r>
      <w:r w:rsidR="00546C2E" w:rsidRPr="009A4537">
        <w:rPr>
          <w:iCs/>
          <w:szCs w:val="22"/>
          <w:lang w:val="sv-SE"/>
        </w:rPr>
        <w:t> </w:t>
      </w:r>
      <w:r w:rsidRPr="009A4537">
        <w:rPr>
          <w:iCs/>
          <w:szCs w:val="22"/>
          <w:lang w:val="sv-SE"/>
        </w:rPr>
        <w:t xml:space="preserve">aminosyror, är det hormon som huvudsakligen reglerar kalcium- och fosfatmetabolismen i ben och njurar. </w:t>
      </w:r>
      <w:r w:rsidR="00546C2E" w:rsidRPr="009A4537">
        <w:rPr>
          <w:iCs/>
          <w:szCs w:val="22"/>
          <w:lang w:val="sv-SE"/>
        </w:rPr>
        <w:t>teriparatid</w:t>
      </w:r>
      <w:r w:rsidRPr="009A4537">
        <w:rPr>
          <w:iCs/>
          <w:szCs w:val="22"/>
          <w:lang w:val="sv-SE"/>
        </w:rPr>
        <w:t xml:space="preserve"> (rhPTH </w:t>
      </w:r>
      <w:r w:rsidR="00C640CE" w:rsidRPr="009A4537">
        <w:rPr>
          <w:iCs/>
          <w:szCs w:val="22"/>
          <w:lang w:val="sv-SE"/>
        </w:rPr>
        <w:t>[</w:t>
      </w:r>
      <w:r w:rsidRPr="009A4537">
        <w:rPr>
          <w:iCs/>
          <w:szCs w:val="22"/>
          <w:lang w:val="sv-SE"/>
        </w:rPr>
        <w:t>1</w:t>
      </w:r>
      <w:r w:rsidR="00546C2E" w:rsidRPr="009A4537">
        <w:rPr>
          <w:iCs/>
          <w:szCs w:val="22"/>
          <w:lang w:val="sv-SE"/>
        </w:rPr>
        <w:noBreakHyphen/>
      </w:r>
      <w:r w:rsidRPr="009A4537">
        <w:rPr>
          <w:iCs/>
          <w:szCs w:val="22"/>
          <w:lang w:val="sv-SE"/>
        </w:rPr>
        <w:t>34</w:t>
      </w:r>
      <w:r w:rsidR="00C640CE" w:rsidRPr="009A4537">
        <w:rPr>
          <w:iCs/>
          <w:szCs w:val="22"/>
          <w:lang w:val="sv-SE"/>
        </w:rPr>
        <w:t>]</w:t>
      </w:r>
      <w:r w:rsidRPr="009A4537">
        <w:rPr>
          <w:iCs/>
          <w:szCs w:val="22"/>
          <w:lang w:val="sv-SE"/>
        </w:rPr>
        <w:t>) är det aktiva fragmentet (1</w:t>
      </w:r>
      <w:r w:rsidR="00546C2E" w:rsidRPr="009A4537">
        <w:rPr>
          <w:iCs/>
          <w:szCs w:val="22"/>
          <w:lang w:val="sv-SE"/>
        </w:rPr>
        <w:noBreakHyphen/>
      </w:r>
      <w:r w:rsidRPr="009A4537">
        <w:rPr>
          <w:iCs/>
          <w:szCs w:val="22"/>
          <w:lang w:val="sv-SE"/>
        </w:rPr>
        <w:t>34) av endogent, humant parathormon. De fysiologiska effekterna av PTH inkluderar stimulering av ben-nybildning genom direktverkan på benbildande celler (osteoblaster) och en indirekt verkan som ökar kalciumupptaget i tarmen och ger en ökning av den tubulära återabsorptionen av kalcium samt en ökad utsöndring av fosfat via njurarna.</w:t>
      </w:r>
    </w:p>
    <w:p w14:paraId="1AE88478" w14:textId="77777777" w:rsidR="00FD3E90" w:rsidRPr="009A4537" w:rsidRDefault="00FD3E90">
      <w:pPr>
        <w:suppressAutoHyphens/>
        <w:rPr>
          <w:szCs w:val="22"/>
          <w:lang w:val="sv-SE"/>
        </w:rPr>
      </w:pPr>
    </w:p>
    <w:p w14:paraId="652EA085" w14:textId="77777777" w:rsidR="00FD3E90" w:rsidRPr="009A4537" w:rsidRDefault="00FD3E90">
      <w:pPr>
        <w:pStyle w:val="Heading4"/>
        <w:jc w:val="left"/>
        <w:rPr>
          <w:b w:val="0"/>
          <w:sz w:val="22"/>
          <w:szCs w:val="22"/>
          <w:u w:val="single"/>
          <w:lang w:val="sv-SE"/>
        </w:rPr>
      </w:pPr>
      <w:r w:rsidRPr="009A4537">
        <w:rPr>
          <w:b w:val="0"/>
          <w:sz w:val="22"/>
          <w:szCs w:val="22"/>
          <w:u w:val="single"/>
          <w:lang w:val="sv-SE"/>
        </w:rPr>
        <w:t>Farmakodynamisk effekt</w:t>
      </w:r>
    </w:p>
    <w:p w14:paraId="48D0FF9C" w14:textId="77777777" w:rsidR="00521E78" w:rsidRPr="009A4537" w:rsidRDefault="00521E78" w:rsidP="00BC14F8">
      <w:pPr>
        <w:rPr>
          <w:lang w:val="sv-SE"/>
        </w:rPr>
      </w:pPr>
    </w:p>
    <w:p w14:paraId="14EACFBA" w14:textId="77777777" w:rsidR="00FD3E90" w:rsidRPr="009A4537" w:rsidRDefault="00546C2E">
      <w:pPr>
        <w:pStyle w:val="BodyText"/>
        <w:rPr>
          <w:iCs/>
          <w:szCs w:val="22"/>
          <w:lang w:val="sv-SE"/>
        </w:rPr>
      </w:pPr>
      <w:r w:rsidRPr="009A4537">
        <w:rPr>
          <w:iCs/>
          <w:szCs w:val="22"/>
          <w:lang w:val="sv-SE"/>
        </w:rPr>
        <w:t>Teriparatid</w:t>
      </w:r>
      <w:r w:rsidR="00FD3E90" w:rsidRPr="009A4537">
        <w:rPr>
          <w:iCs/>
          <w:szCs w:val="22"/>
          <w:lang w:val="sv-SE"/>
        </w:rPr>
        <w:t xml:space="preserve"> är ett läkemedel som stimulerar benbildning och som används för behandling av osteoporos. Effekterna på skelettet beror på hur den systemiska exponeringen av teriparatid sker. Tillförs teriparatid en gång dagligen ökar pålagringen av nytt ben på det trabekulära och kortikala benets yta genom stimulering av företrädesvis den osteoblastiska aktiviteten framför den osteoklastiska. </w:t>
      </w:r>
    </w:p>
    <w:p w14:paraId="0F2FD410" w14:textId="77777777" w:rsidR="00FD3E90" w:rsidRPr="009A4537" w:rsidRDefault="00FD3E90">
      <w:pPr>
        <w:pStyle w:val="BodyText"/>
        <w:rPr>
          <w:szCs w:val="22"/>
          <w:lang w:val="sv-SE"/>
        </w:rPr>
      </w:pPr>
    </w:p>
    <w:p w14:paraId="38E713D9" w14:textId="77777777" w:rsidR="00FD3E90" w:rsidRPr="009A4537" w:rsidRDefault="00FD3E90" w:rsidP="006908B4">
      <w:pPr>
        <w:pStyle w:val="BodyText"/>
        <w:keepNext/>
        <w:rPr>
          <w:iCs/>
          <w:szCs w:val="22"/>
          <w:u w:val="single"/>
          <w:lang w:val="sv-SE"/>
        </w:rPr>
      </w:pPr>
      <w:r w:rsidRPr="009A4537">
        <w:rPr>
          <w:iCs/>
          <w:szCs w:val="22"/>
          <w:u w:val="single"/>
          <w:lang w:val="sv-SE"/>
        </w:rPr>
        <w:t>Klinisk effekt</w:t>
      </w:r>
    </w:p>
    <w:p w14:paraId="13F141DA" w14:textId="77777777" w:rsidR="005D6334" w:rsidRPr="009A4537" w:rsidRDefault="005D6334" w:rsidP="006908B4">
      <w:pPr>
        <w:pStyle w:val="BodyText"/>
        <w:keepNext/>
        <w:rPr>
          <w:i/>
          <w:iCs/>
          <w:szCs w:val="22"/>
          <w:lang w:val="sv-SE"/>
        </w:rPr>
      </w:pPr>
    </w:p>
    <w:p w14:paraId="29780FC1" w14:textId="77777777" w:rsidR="005D6334" w:rsidRPr="009A4537" w:rsidRDefault="005D6334" w:rsidP="006908B4">
      <w:pPr>
        <w:pStyle w:val="BodyText"/>
        <w:keepNext/>
        <w:rPr>
          <w:i/>
          <w:iCs/>
          <w:szCs w:val="22"/>
          <w:u w:val="single"/>
          <w:lang w:val="sv-SE"/>
        </w:rPr>
      </w:pPr>
      <w:r w:rsidRPr="009A4537">
        <w:rPr>
          <w:i/>
          <w:iCs/>
          <w:szCs w:val="22"/>
          <w:u w:val="single"/>
          <w:lang w:val="sv-SE"/>
        </w:rPr>
        <w:t>Riskfaktorer</w:t>
      </w:r>
    </w:p>
    <w:p w14:paraId="7E01247E" w14:textId="77777777" w:rsidR="005D6334" w:rsidRPr="009A4537" w:rsidRDefault="005D6334" w:rsidP="006908B4">
      <w:pPr>
        <w:pStyle w:val="BodyText"/>
        <w:keepNext/>
        <w:rPr>
          <w:iCs/>
          <w:szCs w:val="22"/>
          <w:lang w:val="sv-SE"/>
        </w:rPr>
      </w:pPr>
    </w:p>
    <w:p w14:paraId="0CE1FD9F" w14:textId="77777777" w:rsidR="00FD3E90" w:rsidRPr="009A4537" w:rsidRDefault="00FD3E90" w:rsidP="006908B4">
      <w:pPr>
        <w:pStyle w:val="BodyText"/>
        <w:keepNext/>
        <w:rPr>
          <w:iCs/>
          <w:szCs w:val="22"/>
          <w:lang w:val="sv-SE"/>
        </w:rPr>
      </w:pPr>
      <w:r w:rsidRPr="009A4537">
        <w:rPr>
          <w:iCs/>
          <w:szCs w:val="22"/>
          <w:lang w:val="sv-SE"/>
        </w:rPr>
        <w:t>För att identifiera kvinnor och män med ökad risk för osteoporosfrakturer och för vilka behandling skulle kunna vara av värde bör oberoende riskfaktorer, till exempel lågt BMD, ålder, tidigare frakturer, hereditet för höftfrakturer, hög benomsättning och lågt BMI (body mass index) tas i beaktande.</w:t>
      </w:r>
    </w:p>
    <w:p w14:paraId="54CB7C60" w14:textId="77777777" w:rsidR="00FD3E90" w:rsidRPr="009A4537" w:rsidRDefault="00FD3E90">
      <w:pPr>
        <w:pStyle w:val="BodyText"/>
        <w:rPr>
          <w:iCs/>
          <w:szCs w:val="22"/>
          <w:lang w:val="sv-SE"/>
        </w:rPr>
      </w:pPr>
    </w:p>
    <w:p w14:paraId="1D6F50E2" w14:textId="77777777" w:rsidR="00C477F9" w:rsidRPr="009A4537" w:rsidRDefault="00C477F9">
      <w:pPr>
        <w:pStyle w:val="BodyText"/>
        <w:rPr>
          <w:iCs/>
          <w:szCs w:val="22"/>
          <w:lang w:val="sv-SE"/>
        </w:rPr>
      </w:pPr>
      <w:r w:rsidRPr="009A4537">
        <w:rPr>
          <w:iCs/>
          <w:szCs w:val="22"/>
          <w:lang w:val="sv-SE"/>
        </w:rPr>
        <w:t>Premenopausala kvinnor med glukokortikoidinducerad osteoporos kan anses ha en hög risk för frak</w:t>
      </w:r>
      <w:r w:rsidR="00FC3DBC" w:rsidRPr="009A4537">
        <w:rPr>
          <w:iCs/>
          <w:szCs w:val="22"/>
          <w:lang w:val="sv-SE"/>
        </w:rPr>
        <w:t>t</w:t>
      </w:r>
      <w:r w:rsidRPr="009A4537">
        <w:rPr>
          <w:iCs/>
          <w:szCs w:val="22"/>
          <w:lang w:val="sv-SE"/>
        </w:rPr>
        <w:t>urer om de tidigare har haft en fraktur eller om en kombination av riskfaktorer gör att de få</w:t>
      </w:r>
      <w:r w:rsidR="00FC3DBC" w:rsidRPr="009A4537">
        <w:rPr>
          <w:iCs/>
          <w:szCs w:val="22"/>
          <w:lang w:val="sv-SE"/>
        </w:rPr>
        <w:t>r en hög risk för frakturer (dvs</w:t>
      </w:r>
      <w:r w:rsidRPr="009A4537">
        <w:rPr>
          <w:iCs/>
          <w:szCs w:val="22"/>
          <w:lang w:val="sv-SE"/>
        </w:rPr>
        <w:t>. låg bentäthet [t</w:t>
      </w:r>
      <w:r w:rsidR="00D97A65" w:rsidRPr="009A4537">
        <w:rPr>
          <w:iCs/>
          <w:szCs w:val="22"/>
          <w:lang w:val="sv-SE"/>
        </w:rPr>
        <w:noBreakHyphen/>
      </w:r>
      <w:r w:rsidRPr="009A4537">
        <w:rPr>
          <w:iCs/>
          <w:szCs w:val="22"/>
          <w:lang w:val="sv-SE"/>
        </w:rPr>
        <w:t>score ≤-2], kontinuerlig högdos glukokortikoidterapi [≥7,5</w:t>
      </w:r>
      <w:r w:rsidR="00855A33" w:rsidRPr="009A4537">
        <w:rPr>
          <w:iCs/>
          <w:szCs w:val="22"/>
          <w:lang w:val="sv-SE"/>
        </w:rPr>
        <w:t> mg</w:t>
      </w:r>
      <w:r w:rsidRPr="009A4537">
        <w:rPr>
          <w:iCs/>
          <w:szCs w:val="22"/>
          <w:lang w:val="sv-SE"/>
        </w:rPr>
        <w:t>/dag i minst 6</w:t>
      </w:r>
      <w:r w:rsidR="00D97A65" w:rsidRPr="009A4537">
        <w:rPr>
          <w:iCs/>
          <w:szCs w:val="22"/>
          <w:lang w:val="sv-SE"/>
        </w:rPr>
        <w:t> </w:t>
      </w:r>
      <w:r w:rsidRPr="009A4537">
        <w:rPr>
          <w:iCs/>
          <w:szCs w:val="22"/>
          <w:lang w:val="sv-SE"/>
        </w:rPr>
        <w:t xml:space="preserve">månader], aktiv </w:t>
      </w:r>
      <w:r w:rsidR="00C032E7" w:rsidRPr="009A4537">
        <w:rPr>
          <w:iCs/>
          <w:szCs w:val="22"/>
          <w:lang w:val="sv-SE"/>
        </w:rPr>
        <w:t>bakom</w:t>
      </w:r>
      <w:r w:rsidRPr="009A4537">
        <w:rPr>
          <w:iCs/>
          <w:szCs w:val="22"/>
          <w:lang w:val="sv-SE"/>
        </w:rPr>
        <w:t>liggande sjukdom, låg halt av könshormoner).</w:t>
      </w:r>
    </w:p>
    <w:p w14:paraId="527EB80E" w14:textId="77777777" w:rsidR="00C477F9" w:rsidRPr="009A4537" w:rsidRDefault="00C477F9">
      <w:pPr>
        <w:pStyle w:val="BodyText"/>
        <w:rPr>
          <w:iCs/>
          <w:szCs w:val="22"/>
          <w:lang w:val="sv-SE"/>
        </w:rPr>
      </w:pPr>
    </w:p>
    <w:p w14:paraId="6267D5A3" w14:textId="77777777" w:rsidR="00FD3E90" w:rsidRPr="009A4537" w:rsidRDefault="00FD3E90" w:rsidP="001F39B9">
      <w:pPr>
        <w:pStyle w:val="BodyText"/>
        <w:rPr>
          <w:i/>
          <w:iCs/>
          <w:szCs w:val="22"/>
          <w:lang w:val="sv-SE"/>
        </w:rPr>
      </w:pPr>
      <w:r w:rsidRPr="009A4537">
        <w:rPr>
          <w:i/>
          <w:iCs/>
          <w:szCs w:val="22"/>
          <w:lang w:val="sv-SE"/>
        </w:rPr>
        <w:t xml:space="preserve">Postmenopausal </w:t>
      </w:r>
      <w:r w:rsidR="007818D5" w:rsidRPr="009A4537">
        <w:rPr>
          <w:i/>
          <w:iCs/>
          <w:szCs w:val="22"/>
          <w:lang w:val="sv-SE"/>
        </w:rPr>
        <w:t>osteoporos</w:t>
      </w:r>
    </w:p>
    <w:p w14:paraId="447BC547" w14:textId="77777777" w:rsidR="00FD3E90" w:rsidRPr="009A4537" w:rsidRDefault="00FD3E90" w:rsidP="001F39B9">
      <w:pPr>
        <w:pStyle w:val="BodyText"/>
        <w:rPr>
          <w:iCs/>
          <w:szCs w:val="22"/>
          <w:lang w:val="sv-SE"/>
        </w:rPr>
      </w:pPr>
      <w:r w:rsidRPr="009A4537">
        <w:rPr>
          <w:iCs/>
          <w:szCs w:val="22"/>
          <w:lang w:val="sv-SE"/>
        </w:rPr>
        <w:t>Den pivotala</w:t>
      </w:r>
      <w:r w:rsidRPr="009A4537">
        <w:rPr>
          <w:iCs/>
          <w:color w:val="FF0000"/>
          <w:szCs w:val="22"/>
          <w:lang w:val="sv-SE"/>
        </w:rPr>
        <w:t xml:space="preserve"> </w:t>
      </w:r>
      <w:r w:rsidR="00546C2E" w:rsidRPr="009A4537">
        <w:rPr>
          <w:iCs/>
          <w:szCs w:val="22"/>
          <w:lang w:val="sv-SE"/>
        </w:rPr>
        <w:t>prövning</w:t>
      </w:r>
      <w:r w:rsidR="001A5B27" w:rsidRPr="009A4537">
        <w:rPr>
          <w:iCs/>
          <w:szCs w:val="22"/>
          <w:lang w:val="sv-SE"/>
        </w:rPr>
        <w:t>en</w:t>
      </w:r>
      <w:r w:rsidRPr="009A4537">
        <w:rPr>
          <w:iCs/>
          <w:szCs w:val="22"/>
          <w:lang w:val="sv-SE"/>
        </w:rPr>
        <w:t xml:space="preserve"> inkluderade 1</w:t>
      </w:r>
      <w:r w:rsidR="00546C2E" w:rsidRPr="009A4537">
        <w:rPr>
          <w:iCs/>
          <w:szCs w:val="22"/>
          <w:lang w:val="sv-SE"/>
        </w:rPr>
        <w:t> </w:t>
      </w:r>
      <w:r w:rsidRPr="009A4537">
        <w:rPr>
          <w:iCs/>
          <w:szCs w:val="22"/>
          <w:lang w:val="sv-SE"/>
        </w:rPr>
        <w:t>637</w:t>
      </w:r>
      <w:r w:rsidR="00546C2E" w:rsidRPr="009A4537">
        <w:rPr>
          <w:iCs/>
          <w:szCs w:val="22"/>
          <w:lang w:val="sv-SE"/>
        </w:rPr>
        <w:t> </w:t>
      </w:r>
      <w:r w:rsidRPr="009A4537">
        <w:rPr>
          <w:iCs/>
          <w:szCs w:val="22"/>
          <w:lang w:val="sv-SE"/>
        </w:rPr>
        <w:t>postmenopausala kvinnor (medelålder 69,5</w:t>
      </w:r>
      <w:r w:rsidR="00546C2E" w:rsidRPr="009A4537">
        <w:rPr>
          <w:iCs/>
          <w:szCs w:val="22"/>
          <w:lang w:val="sv-SE"/>
        </w:rPr>
        <w:t> </w:t>
      </w:r>
      <w:r w:rsidRPr="009A4537">
        <w:rPr>
          <w:iCs/>
          <w:szCs w:val="22"/>
          <w:lang w:val="sv-SE"/>
        </w:rPr>
        <w:t>år). Vid studiens början hade 90 % av patienterna en eller flera kotfrakturer, med ett medelvärde på BMD i kota på 0,82 g/cm</w:t>
      </w:r>
      <w:r w:rsidRPr="009A4537">
        <w:rPr>
          <w:iCs/>
          <w:szCs w:val="22"/>
          <w:vertAlign w:val="superscript"/>
          <w:lang w:val="sv-SE"/>
        </w:rPr>
        <w:t xml:space="preserve">2 </w:t>
      </w:r>
      <w:r w:rsidRPr="009A4537">
        <w:rPr>
          <w:iCs/>
          <w:szCs w:val="22"/>
          <w:lang w:val="sv-SE"/>
        </w:rPr>
        <w:t>(motsvarande t</w:t>
      </w:r>
      <w:r w:rsidR="00546C2E" w:rsidRPr="009A4537">
        <w:rPr>
          <w:iCs/>
          <w:szCs w:val="22"/>
          <w:lang w:val="sv-SE"/>
        </w:rPr>
        <w:noBreakHyphen/>
      </w:r>
      <w:r w:rsidRPr="009A4537">
        <w:rPr>
          <w:iCs/>
          <w:szCs w:val="22"/>
          <w:lang w:val="sv-SE"/>
        </w:rPr>
        <w:t>score -2,6 ). Samtliga patienter erhöll 1</w:t>
      </w:r>
      <w:r w:rsidR="00546C2E" w:rsidRPr="009A4537">
        <w:rPr>
          <w:iCs/>
          <w:szCs w:val="22"/>
          <w:lang w:val="sv-SE"/>
        </w:rPr>
        <w:t> </w:t>
      </w:r>
      <w:r w:rsidRPr="009A4537">
        <w:rPr>
          <w:iCs/>
          <w:szCs w:val="22"/>
          <w:lang w:val="sv-SE"/>
        </w:rPr>
        <w:t>000</w:t>
      </w:r>
      <w:r w:rsidR="00855A33" w:rsidRPr="009A4537">
        <w:rPr>
          <w:iCs/>
          <w:szCs w:val="22"/>
          <w:lang w:val="sv-SE"/>
        </w:rPr>
        <w:t> mg</w:t>
      </w:r>
      <w:r w:rsidRPr="009A4537">
        <w:rPr>
          <w:iCs/>
          <w:szCs w:val="22"/>
          <w:lang w:val="sv-SE"/>
        </w:rPr>
        <w:t xml:space="preserve"> kalcium och minst 400</w:t>
      </w:r>
      <w:r w:rsidR="00546C2E" w:rsidRPr="009A4537">
        <w:rPr>
          <w:iCs/>
          <w:szCs w:val="22"/>
          <w:lang w:val="sv-SE"/>
        </w:rPr>
        <w:t> </w:t>
      </w:r>
      <w:r w:rsidRPr="009A4537">
        <w:rPr>
          <w:iCs/>
          <w:szCs w:val="22"/>
          <w:lang w:val="sv-SE"/>
        </w:rPr>
        <w:t>IE</w:t>
      </w:r>
      <w:r w:rsidR="00546C2E" w:rsidRPr="009A4537">
        <w:rPr>
          <w:iCs/>
          <w:szCs w:val="22"/>
          <w:lang w:val="sv-SE"/>
        </w:rPr>
        <w:t> </w:t>
      </w:r>
      <w:r w:rsidRPr="009A4537">
        <w:rPr>
          <w:iCs/>
          <w:szCs w:val="22"/>
          <w:lang w:val="sv-SE"/>
        </w:rPr>
        <w:t>D</w:t>
      </w:r>
      <w:r w:rsidR="00546C2E" w:rsidRPr="009A4537">
        <w:rPr>
          <w:iCs/>
          <w:szCs w:val="22"/>
          <w:lang w:val="sv-SE"/>
        </w:rPr>
        <w:noBreakHyphen/>
      </w:r>
      <w:r w:rsidRPr="009A4537">
        <w:rPr>
          <w:iCs/>
          <w:szCs w:val="22"/>
          <w:lang w:val="sv-SE"/>
        </w:rPr>
        <w:t>vitamin dagligen. Resultatet från en behandlingsperiod på upp till 24</w:t>
      </w:r>
      <w:r w:rsidR="00546C2E" w:rsidRPr="009A4537">
        <w:rPr>
          <w:iCs/>
          <w:szCs w:val="22"/>
          <w:lang w:val="sv-SE"/>
        </w:rPr>
        <w:t> </w:t>
      </w:r>
      <w:r w:rsidRPr="009A4537">
        <w:rPr>
          <w:iCs/>
          <w:szCs w:val="22"/>
          <w:lang w:val="sv-SE"/>
        </w:rPr>
        <w:t>månader (median 19</w:t>
      </w:r>
      <w:r w:rsidR="00546C2E" w:rsidRPr="009A4537">
        <w:rPr>
          <w:iCs/>
          <w:szCs w:val="22"/>
          <w:lang w:val="sv-SE"/>
        </w:rPr>
        <w:t> </w:t>
      </w:r>
      <w:r w:rsidRPr="009A4537">
        <w:rPr>
          <w:iCs/>
          <w:szCs w:val="22"/>
          <w:lang w:val="sv-SE"/>
        </w:rPr>
        <w:t xml:space="preserve">månader) med </w:t>
      </w:r>
      <w:r w:rsidR="00546C2E" w:rsidRPr="009A4537">
        <w:rPr>
          <w:iCs/>
          <w:szCs w:val="22"/>
          <w:lang w:val="sv-SE"/>
        </w:rPr>
        <w:t>teriparatid</w:t>
      </w:r>
      <w:r w:rsidRPr="009A4537">
        <w:rPr>
          <w:iCs/>
          <w:szCs w:val="22"/>
          <w:lang w:val="sv-SE"/>
        </w:rPr>
        <w:t xml:space="preserve"> visar statistiskt signifikant reduktion av frakturer (</w:t>
      </w:r>
      <w:r w:rsidR="00546C2E" w:rsidRPr="009A4537">
        <w:rPr>
          <w:iCs/>
          <w:szCs w:val="22"/>
          <w:lang w:val="sv-SE"/>
        </w:rPr>
        <w:t>t</w:t>
      </w:r>
      <w:r w:rsidRPr="009A4537">
        <w:rPr>
          <w:iCs/>
          <w:szCs w:val="22"/>
          <w:lang w:val="sv-SE"/>
        </w:rPr>
        <w:t>abell</w:t>
      </w:r>
      <w:r w:rsidR="00546C2E" w:rsidRPr="009A4537">
        <w:rPr>
          <w:iCs/>
          <w:szCs w:val="22"/>
          <w:lang w:val="sv-SE"/>
        </w:rPr>
        <w:t> </w:t>
      </w:r>
      <w:r w:rsidR="00863DB3" w:rsidRPr="009A4537">
        <w:rPr>
          <w:iCs/>
          <w:szCs w:val="22"/>
          <w:lang w:val="sv-SE"/>
        </w:rPr>
        <w:t>2</w:t>
      </w:r>
      <w:r w:rsidRPr="009A4537">
        <w:rPr>
          <w:iCs/>
          <w:szCs w:val="22"/>
          <w:lang w:val="sv-SE"/>
        </w:rPr>
        <w:t>). För att förhindra en eller flera nya kotfrakturer måste 11</w:t>
      </w:r>
      <w:r w:rsidR="00546C2E" w:rsidRPr="009A4537">
        <w:rPr>
          <w:iCs/>
          <w:szCs w:val="22"/>
          <w:lang w:val="sv-SE"/>
        </w:rPr>
        <w:t> </w:t>
      </w:r>
      <w:r w:rsidRPr="009A4537">
        <w:rPr>
          <w:iCs/>
          <w:szCs w:val="22"/>
          <w:lang w:val="sv-SE"/>
        </w:rPr>
        <w:t xml:space="preserve">kvinnor behandlas med teriparatid under en mediantid </w:t>
      </w:r>
      <w:r w:rsidR="00CF3FAB" w:rsidRPr="009A4537">
        <w:rPr>
          <w:iCs/>
          <w:szCs w:val="22"/>
          <w:lang w:val="sv-SE"/>
        </w:rPr>
        <w:t>på</w:t>
      </w:r>
      <w:r w:rsidRPr="009A4537">
        <w:rPr>
          <w:iCs/>
          <w:szCs w:val="22"/>
          <w:lang w:val="sv-SE"/>
        </w:rPr>
        <w:t xml:space="preserve"> 19</w:t>
      </w:r>
      <w:r w:rsidR="00546C2E" w:rsidRPr="009A4537">
        <w:rPr>
          <w:iCs/>
          <w:szCs w:val="22"/>
          <w:lang w:val="sv-SE"/>
        </w:rPr>
        <w:t> </w:t>
      </w:r>
      <w:r w:rsidRPr="009A4537">
        <w:rPr>
          <w:iCs/>
          <w:szCs w:val="22"/>
          <w:lang w:val="sv-SE"/>
        </w:rPr>
        <w:t>månader.</w:t>
      </w:r>
    </w:p>
    <w:p w14:paraId="5B4C0052" w14:textId="77777777" w:rsidR="00FD3E90" w:rsidRPr="009A4537" w:rsidRDefault="00FD3E90" w:rsidP="006908B4">
      <w:pPr>
        <w:pStyle w:val="BodyText"/>
        <w:keepNext/>
        <w:rPr>
          <w:b/>
          <w:iCs/>
          <w:szCs w:val="22"/>
          <w:lang w:val="sv-SE"/>
        </w:rPr>
      </w:pPr>
    </w:p>
    <w:p w14:paraId="0DB5273A" w14:textId="77777777" w:rsidR="00FD3E90" w:rsidRPr="009A4537" w:rsidRDefault="00FD3E90" w:rsidP="00C40392">
      <w:pPr>
        <w:pStyle w:val="BodyText"/>
        <w:rPr>
          <w:b/>
          <w:iCs/>
          <w:szCs w:val="22"/>
          <w:lang w:val="sv-SE"/>
        </w:rPr>
      </w:pPr>
      <w:r w:rsidRPr="009A4537">
        <w:rPr>
          <w:b/>
          <w:iCs/>
          <w:szCs w:val="22"/>
          <w:lang w:val="sv-SE"/>
        </w:rPr>
        <w:t>Tabell</w:t>
      </w:r>
      <w:r w:rsidR="004A7464" w:rsidRPr="009A4537">
        <w:rPr>
          <w:b/>
          <w:iCs/>
          <w:szCs w:val="22"/>
          <w:lang w:val="sv-SE"/>
        </w:rPr>
        <w:t> 2. Frakturincidens hos postmenopausala kvinnor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2268"/>
        <w:gridCol w:w="2268"/>
      </w:tblGrid>
      <w:tr w:rsidR="001257FC" w:rsidRPr="00752ACE" w14:paraId="3AAE6944" w14:textId="77777777" w:rsidTr="00FB7CBC">
        <w:trPr>
          <w:trHeight w:val="66"/>
        </w:trPr>
        <w:tc>
          <w:tcPr>
            <w:tcW w:w="3085" w:type="dxa"/>
          </w:tcPr>
          <w:p w14:paraId="79AEA2F3" w14:textId="77777777" w:rsidR="00FD3E90" w:rsidRPr="009A4537" w:rsidRDefault="00FD3E90" w:rsidP="00C40392">
            <w:pPr>
              <w:pStyle w:val="BodyText"/>
              <w:rPr>
                <w:iCs/>
                <w:szCs w:val="22"/>
                <w:lang w:val="sv-SE"/>
              </w:rPr>
            </w:pPr>
          </w:p>
        </w:tc>
        <w:tc>
          <w:tcPr>
            <w:tcW w:w="1559" w:type="dxa"/>
          </w:tcPr>
          <w:p w14:paraId="3BAE3E09" w14:textId="77777777" w:rsidR="00FD3E90" w:rsidRPr="009A4537" w:rsidRDefault="00FD3E90" w:rsidP="00C40392">
            <w:pPr>
              <w:pStyle w:val="BodyText"/>
              <w:jc w:val="center"/>
              <w:rPr>
                <w:bCs/>
                <w:iCs/>
                <w:szCs w:val="22"/>
                <w:lang w:val="sv-SE"/>
              </w:rPr>
            </w:pPr>
            <w:r w:rsidRPr="009A4537">
              <w:rPr>
                <w:bCs/>
                <w:iCs/>
                <w:szCs w:val="22"/>
                <w:lang w:val="sv-SE"/>
              </w:rPr>
              <w:t>Placebo</w:t>
            </w:r>
          </w:p>
          <w:p w14:paraId="268EBF8E" w14:textId="77777777" w:rsidR="00FD3E90" w:rsidRPr="009A4537" w:rsidRDefault="00FD3E90" w:rsidP="00C40392">
            <w:pPr>
              <w:pStyle w:val="BodyText"/>
              <w:jc w:val="center"/>
              <w:rPr>
                <w:bCs/>
                <w:iCs/>
                <w:szCs w:val="22"/>
                <w:lang w:val="sv-SE"/>
              </w:rPr>
            </w:pPr>
            <w:r w:rsidRPr="009A4537">
              <w:rPr>
                <w:bCs/>
                <w:iCs/>
                <w:szCs w:val="22"/>
                <w:lang w:val="sv-SE"/>
              </w:rPr>
              <w:t>(N=544)</w:t>
            </w:r>
            <w:r w:rsidR="004A7464" w:rsidRPr="009A4537">
              <w:rPr>
                <w:bCs/>
                <w:iCs/>
                <w:szCs w:val="22"/>
                <w:lang w:val="sv-SE"/>
              </w:rPr>
              <w:t xml:space="preserve"> </w:t>
            </w:r>
            <w:r w:rsidRPr="009A4537">
              <w:rPr>
                <w:bCs/>
                <w:iCs/>
                <w:szCs w:val="22"/>
                <w:lang w:val="sv-SE"/>
              </w:rPr>
              <w:t>(%)</w:t>
            </w:r>
          </w:p>
        </w:tc>
        <w:tc>
          <w:tcPr>
            <w:tcW w:w="2268" w:type="dxa"/>
          </w:tcPr>
          <w:p w14:paraId="4D576DB9" w14:textId="77777777" w:rsidR="00FD3E90" w:rsidRPr="009A4537" w:rsidRDefault="004A7464" w:rsidP="00C40392">
            <w:pPr>
              <w:pStyle w:val="BodyText"/>
              <w:jc w:val="center"/>
              <w:rPr>
                <w:bCs/>
                <w:iCs/>
                <w:szCs w:val="22"/>
                <w:lang w:val="sv-SE"/>
              </w:rPr>
            </w:pPr>
            <w:r w:rsidRPr="009A4537">
              <w:rPr>
                <w:bCs/>
                <w:iCs/>
                <w:szCs w:val="22"/>
                <w:lang w:val="sv-SE"/>
              </w:rPr>
              <w:t>Teriparatid</w:t>
            </w:r>
          </w:p>
          <w:p w14:paraId="2E192275" w14:textId="77777777" w:rsidR="00FD3E90" w:rsidRPr="009A4537" w:rsidRDefault="00FD3E90" w:rsidP="00C40392">
            <w:pPr>
              <w:pStyle w:val="BodyText"/>
              <w:jc w:val="center"/>
              <w:rPr>
                <w:bCs/>
                <w:iCs/>
                <w:szCs w:val="22"/>
                <w:lang w:val="sv-SE"/>
              </w:rPr>
            </w:pPr>
            <w:r w:rsidRPr="009A4537">
              <w:rPr>
                <w:bCs/>
                <w:iCs/>
                <w:szCs w:val="22"/>
                <w:lang w:val="sv-SE"/>
              </w:rPr>
              <w:t>(N=541)</w:t>
            </w:r>
            <w:r w:rsidR="004A7464" w:rsidRPr="009A4537">
              <w:rPr>
                <w:bCs/>
                <w:iCs/>
                <w:szCs w:val="22"/>
                <w:lang w:val="sv-SE"/>
              </w:rPr>
              <w:t xml:space="preserve"> </w:t>
            </w:r>
            <w:r w:rsidRPr="009A4537">
              <w:rPr>
                <w:bCs/>
                <w:iCs/>
                <w:szCs w:val="22"/>
                <w:lang w:val="sv-SE"/>
              </w:rPr>
              <w:t>(%)</w:t>
            </w:r>
          </w:p>
        </w:tc>
        <w:tc>
          <w:tcPr>
            <w:tcW w:w="2268" w:type="dxa"/>
          </w:tcPr>
          <w:p w14:paraId="154BAA96" w14:textId="77777777" w:rsidR="00FD3E90" w:rsidRPr="009A4537" w:rsidRDefault="00FD3E90" w:rsidP="00C40392">
            <w:pPr>
              <w:pStyle w:val="BodyText"/>
              <w:jc w:val="center"/>
              <w:rPr>
                <w:bCs/>
                <w:iCs/>
                <w:szCs w:val="22"/>
                <w:lang w:val="sv-SE"/>
              </w:rPr>
            </w:pPr>
            <w:r w:rsidRPr="009A4537">
              <w:rPr>
                <w:bCs/>
                <w:iCs/>
                <w:szCs w:val="22"/>
                <w:lang w:val="sv-SE"/>
              </w:rPr>
              <w:t>Relativ risk</w:t>
            </w:r>
          </w:p>
          <w:p w14:paraId="12DC0C4B" w14:textId="77777777" w:rsidR="00FD3E90" w:rsidRPr="009A4537" w:rsidRDefault="00FD3E90" w:rsidP="00C40392">
            <w:pPr>
              <w:pStyle w:val="BodyText"/>
              <w:jc w:val="center"/>
              <w:rPr>
                <w:bCs/>
                <w:iCs/>
                <w:szCs w:val="22"/>
                <w:lang w:val="sv-SE"/>
              </w:rPr>
            </w:pPr>
            <w:r w:rsidRPr="009A4537">
              <w:rPr>
                <w:bCs/>
                <w:iCs/>
                <w:szCs w:val="22"/>
                <w:lang w:val="sv-SE"/>
              </w:rPr>
              <w:t>(95 % KI)</w:t>
            </w:r>
          </w:p>
          <w:p w14:paraId="1ED05DE2" w14:textId="77777777" w:rsidR="00FD3E90" w:rsidRPr="009A4537" w:rsidRDefault="00FD3E90" w:rsidP="00C40392">
            <w:pPr>
              <w:pStyle w:val="BodyText"/>
              <w:jc w:val="center"/>
              <w:rPr>
                <w:bCs/>
                <w:iCs/>
                <w:szCs w:val="22"/>
                <w:lang w:val="sv-SE"/>
              </w:rPr>
            </w:pPr>
            <w:r w:rsidRPr="009A4537">
              <w:rPr>
                <w:bCs/>
                <w:iCs/>
                <w:szCs w:val="22"/>
                <w:lang w:val="sv-SE"/>
              </w:rPr>
              <w:t>mot placebo</w:t>
            </w:r>
          </w:p>
        </w:tc>
      </w:tr>
      <w:tr w:rsidR="001257FC" w:rsidRPr="009A4537" w14:paraId="4B393EF9" w14:textId="77777777" w:rsidTr="00FB7CBC">
        <w:trPr>
          <w:trHeight w:val="63"/>
        </w:trPr>
        <w:tc>
          <w:tcPr>
            <w:tcW w:w="3085" w:type="dxa"/>
          </w:tcPr>
          <w:p w14:paraId="50091817" w14:textId="77777777" w:rsidR="00FD3E90" w:rsidRPr="009A4537" w:rsidRDefault="00FD3E90" w:rsidP="00C40392">
            <w:pPr>
              <w:pStyle w:val="BodyText"/>
              <w:rPr>
                <w:iCs/>
                <w:szCs w:val="22"/>
                <w:lang w:val="sv-SE"/>
              </w:rPr>
            </w:pPr>
            <w:r w:rsidRPr="009A4537">
              <w:rPr>
                <w:iCs/>
                <w:szCs w:val="22"/>
                <w:lang w:val="sv-SE"/>
              </w:rPr>
              <w:t>Ny</w:t>
            </w:r>
            <w:r w:rsidR="00F73DE8" w:rsidRPr="009A4537">
              <w:rPr>
                <w:iCs/>
                <w:szCs w:val="22"/>
                <w:lang w:val="sv-SE"/>
              </w:rPr>
              <w:t xml:space="preserve"> </w:t>
            </w:r>
            <w:r w:rsidRPr="009A4537">
              <w:rPr>
                <w:iCs/>
                <w:szCs w:val="22"/>
                <w:lang w:val="sv-SE"/>
              </w:rPr>
              <w:t>vertebral fraktur (</w:t>
            </w:r>
            <w:r w:rsidRPr="009A4537">
              <w:rPr>
                <w:rFonts w:ascii="Symbol" w:hAnsi="Symbol"/>
                <w:iCs/>
                <w:szCs w:val="22"/>
                <w:lang w:val="sv-SE"/>
              </w:rPr>
              <w:sym w:font="Symbol" w:char="F0B3"/>
            </w:r>
            <w:r w:rsidRPr="009A4537">
              <w:rPr>
                <w:iCs/>
                <w:szCs w:val="22"/>
                <w:lang w:val="sv-SE"/>
              </w:rPr>
              <w:t>1)</w:t>
            </w:r>
            <w:r w:rsidRPr="009A4537">
              <w:rPr>
                <w:iCs/>
                <w:szCs w:val="22"/>
                <w:vertAlign w:val="superscript"/>
                <w:lang w:val="sv-SE"/>
              </w:rPr>
              <w:t>a</w:t>
            </w:r>
          </w:p>
        </w:tc>
        <w:tc>
          <w:tcPr>
            <w:tcW w:w="1559" w:type="dxa"/>
          </w:tcPr>
          <w:p w14:paraId="07EE01A7" w14:textId="77777777" w:rsidR="00FD3E90" w:rsidRPr="009A4537" w:rsidRDefault="00FD3E90" w:rsidP="00C40392">
            <w:pPr>
              <w:pStyle w:val="BodyText"/>
              <w:jc w:val="center"/>
              <w:rPr>
                <w:iCs/>
                <w:szCs w:val="22"/>
                <w:lang w:val="sv-SE"/>
              </w:rPr>
            </w:pPr>
            <w:r w:rsidRPr="009A4537">
              <w:rPr>
                <w:iCs/>
                <w:szCs w:val="22"/>
                <w:lang w:val="sv-SE"/>
              </w:rPr>
              <w:t>14,3</w:t>
            </w:r>
          </w:p>
        </w:tc>
        <w:tc>
          <w:tcPr>
            <w:tcW w:w="2268" w:type="dxa"/>
          </w:tcPr>
          <w:p w14:paraId="50C2083B" w14:textId="77777777" w:rsidR="00FD3E90" w:rsidRPr="009A4537" w:rsidRDefault="00FD3E90" w:rsidP="00C40392">
            <w:pPr>
              <w:pStyle w:val="BodyText"/>
              <w:jc w:val="center"/>
              <w:rPr>
                <w:iCs/>
                <w:szCs w:val="22"/>
                <w:lang w:val="sv-SE"/>
              </w:rPr>
            </w:pPr>
            <w:r w:rsidRPr="009A4537">
              <w:rPr>
                <w:iCs/>
                <w:szCs w:val="22"/>
                <w:lang w:val="sv-SE"/>
              </w:rPr>
              <w:t>5,0</w:t>
            </w:r>
            <w:r w:rsidRPr="009A4537">
              <w:rPr>
                <w:b/>
                <w:iCs/>
                <w:szCs w:val="22"/>
                <w:vertAlign w:val="superscript"/>
                <w:lang w:val="sv-SE"/>
              </w:rPr>
              <w:t xml:space="preserve"> b</w:t>
            </w:r>
          </w:p>
        </w:tc>
        <w:tc>
          <w:tcPr>
            <w:tcW w:w="2268" w:type="dxa"/>
          </w:tcPr>
          <w:p w14:paraId="3EC2B1D9" w14:textId="77777777" w:rsidR="00FD3E90" w:rsidRPr="009A4537" w:rsidRDefault="00FD3E90" w:rsidP="00C40392">
            <w:pPr>
              <w:pStyle w:val="BodyText"/>
              <w:jc w:val="center"/>
              <w:rPr>
                <w:iCs/>
                <w:szCs w:val="22"/>
                <w:lang w:val="sv-SE"/>
              </w:rPr>
            </w:pPr>
            <w:r w:rsidRPr="009A4537">
              <w:rPr>
                <w:iCs/>
                <w:szCs w:val="22"/>
                <w:lang w:val="sv-SE"/>
              </w:rPr>
              <w:t>0,35</w:t>
            </w:r>
          </w:p>
          <w:p w14:paraId="4E2DB9AF" w14:textId="77777777" w:rsidR="00FD3E90" w:rsidRPr="009A4537" w:rsidRDefault="00FD3E90" w:rsidP="00C40392">
            <w:pPr>
              <w:pStyle w:val="BodyText"/>
              <w:jc w:val="center"/>
              <w:rPr>
                <w:iCs/>
                <w:szCs w:val="22"/>
                <w:lang w:val="sv-SE"/>
              </w:rPr>
            </w:pPr>
            <w:r w:rsidRPr="009A4537">
              <w:rPr>
                <w:iCs/>
                <w:szCs w:val="22"/>
                <w:lang w:val="sv-SE"/>
              </w:rPr>
              <w:t>(0,22, 0,55)</w:t>
            </w:r>
          </w:p>
        </w:tc>
      </w:tr>
      <w:tr w:rsidR="001257FC" w:rsidRPr="009A4537" w14:paraId="18DB6FA3" w14:textId="77777777" w:rsidTr="00FB7CBC">
        <w:trPr>
          <w:trHeight w:val="63"/>
        </w:trPr>
        <w:tc>
          <w:tcPr>
            <w:tcW w:w="3085" w:type="dxa"/>
          </w:tcPr>
          <w:p w14:paraId="6E31AC79" w14:textId="77777777" w:rsidR="00FD3E90" w:rsidRPr="009A4537" w:rsidRDefault="00FD3E90" w:rsidP="00C40392">
            <w:pPr>
              <w:pStyle w:val="BodyText"/>
              <w:rPr>
                <w:iCs/>
                <w:szCs w:val="22"/>
                <w:lang w:val="sv-SE"/>
              </w:rPr>
            </w:pPr>
            <w:r w:rsidRPr="009A4537">
              <w:rPr>
                <w:iCs/>
                <w:szCs w:val="22"/>
                <w:lang w:val="sv-SE"/>
              </w:rPr>
              <w:t>Multipla vertebrala frakturer (</w:t>
            </w:r>
            <w:r w:rsidRPr="009A4537">
              <w:rPr>
                <w:rFonts w:ascii="Symbol" w:hAnsi="Symbol"/>
                <w:iCs/>
                <w:szCs w:val="22"/>
                <w:lang w:val="sv-SE"/>
              </w:rPr>
              <w:sym w:font="Symbol" w:char="F0B3"/>
            </w:r>
            <w:r w:rsidRPr="009A4537">
              <w:rPr>
                <w:iCs/>
                <w:szCs w:val="22"/>
                <w:lang w:val="sv-SE"/>
              </w:rPr>
              <w:t>2)</w:t>
            </w:r>
            <w:r w:rsidRPr="009A4537">
              <w:rPr>
                <w:iCs/>
                <w:szCs w:val="22"/>
                <w:vertAlign w:val="superscript"/>
                <w:lang w:val="sv-SE"/>
              </w:rPr>
              <w:t xml:space="preserve"> a</w:t>
            </w:r>
          </w:p>
        </w:tc>
        <w:tc>
          <w:tcPr>
            <w:tcW w:w="1559" w:type="dxa"/>
          </w:tcPr>
          <w:p w14:paraId="02B28BE2" w14:textId="77777777" w:rsidR="00FD3E90" w:rsidRPr="009A4537" w:rsidRDefault="00FD3E90" w:rsidP="00C40392">
            <w:pPr>
              <w:pStyle w:val="BodyText"/>
              <w:jc w:val="center"/>
              <w:rPr>
                <w:iCs/>
                <w:szCs w:val="22"/>
                <w:lang w:val="sv-SE"/>
              </w:rPr>
            </w:pPr>
            <w:r w:rsidRPr="009A4537">
              <w:rPr>
                <w:iCs/>
                <w:szCs w:val="22"/>
                <w:lang w:val="sv-SE"/>
              </w:rPr>
              <w:t>4,9</w:t>
            </w:r>
          </w:p>
        </w:tc>
        <w:tc>
          <w:tcPr>
            <w:tcW w:w="2268" w:type="dxa"/>
          </w:tcPr>
          <w:p w14:paraId="16ACFC33" w14:textId="77777777" w:rsidR="00FD3E90" w:rsidRPr="009A4537" w:rsidRDefault="00FD3E90" w:rsidP="00C40392">
            <w:pPr>
              <w:pStyle w:val="BodyText"/>
              <w:jc w:val="center"/>
              <w:rPr>
                <w:iCs/>
                <w:szCs w:val="22"/>
                <w:lang w:val="sv-SE"/>
              </w:rPr>
            </w:pPr>
            <w:r w:rsidRPr="009A4537">
              <w:rPr>
                <w:iCs/>
                <w:szCs w:val="22"/>
                <w:lang w:val="sv-SE"/>
              </w:rPr>
              <w:t>1,1</w:t>
            </w:r>
            <w:r w:rsidRPr="009A4537">
              <w:rPr>
                <w:b/>
                <w:iCs/>
                <w:szCs w:val="22"/>
                <w:vertAlign w:val="superscript"/>
                <w:lang w:val="sv-SE"/>
              </w:rPr>
              <w:t xml:space="preserve"> b</w:t>
            </w:r>
          </w:p>
        </w:tc>
        <w:tc>
          <w:tcPr>
            <w:tcW w:w="2268" w:type="dxa"/>
          </w:tcPr>
          <w:p w14:paraId="0553F29F" w14:textId="77777777" w:rsidR="00FD3E90" w:rsidRPr="009A4537" w:rsidRDefault="00FD3E90" w:rsidP="00C40392">
            <w:pPr>
              <w:pStyle w:val="BodyText"/>
              <w:jc w:val="center"/>
              <w:rPr>
                <w:iCs/>
                <w:szCs w:val="22"/>
                <w:lang w:val="sv-SE"/>
              </w:rPr>
            </w:pPr>
            <w:r w:rsidRPr="009A4537">
              <w:rPr>
                <w:iCs/>
                <w:szCs w:val="22"/>
                <w:lang w:val="sv-SE"/>
              </w:rPr>
              <w:t>0,23</w:t>
            </w:r>
          </w:p>
          <w:p w14:paraId="008F69D3" w14:textId="77777777" w:rsidR="00FD3E90" w:rsidRPr="009A4537" w:rsidRDefault="00FD3E90" w:rsidP="00C40392">
            <w:pPr>
              <w:pStyle w:val="BodyText"/>
              <w:jc w:val="center"/>
              <w:rPr>
                <w:iCs/>
                <w:szCs w:val="22"/>
                <w:lang w:val="sv-SE"/>
              </w:rPr>
            </w:pPr>
            <w:r w:rsidRPr="009A4537">
              <w:rPr>
                <w:iCs/>
                <w:szCs w:val="22"/>
                <w:lang w:val="sv-SE"/>
              </w:rPr>
              <w:t>(0,09, 0,60)</w:t>
            </w:r>
          </w:p>
        </w:tc>
      </w:tr>
      <w:tr w:rsidR="001257FC" w:rsidRPr="009A4537" w14:paraId="4CBF8BD7" w14:textId="77777777" w:rsidTr="00FB7CBC">
        <w:trPr>
          <w:trHeight w:val="63"/>
        </w:trPr>
        <w:tc>
          <w:tcPr>
            <w:tcW w:w="3085" w:type="dxa"/>
          </w:tcPr>
          <w:p w14:paraId="35568B98" w14:textId="77777777" w:rsidR="00FD3E90" w:rsidRPr="009A4537" w:rsidRDefault="00FD3E90" w:rsidP="00C40392">
            <w:pPr>
              <w:pStyle w:val="BodyText"/>
              <w:rPr>
                <w:iCs/>
                <w:szCs w:val="22"/>
                <w:lang w:val="sv-SE"/>
              </w:rPr>
            </w:pPr>
            <w:r w:rsidRPr="009A4537">
              <w:rPr>
                <w:iCs/>
                <w:szCs w:val="22"/>
                <w:lang w:val="sv-SE"/>
              </w:rPr>
              <w:t>Icke-vertebrala</w:t>
            </w:r>
          </w:p>
          <w:p w14:paraId="54362138" w14:textId="77777777" w:rsidR="00FD3E90" w:rsidRPr="009A4537" w:rsidRDefault="00FD3E90" w:rsidP="00C40392">
            <w:pPr>
              <w:pStyle w:val="BodyText"/>
              <w:rPr>
                <w:iCs/>
                <w:szCs w:val="22"/>
                <w:lang w:val="sv-SE"/>
              </w:rPr>
            </w:pPr>
            <w:r w:rsidRPr="009A4537">
              <w:rPr>
                <w:iCs/>
                <w:szCs w:val="22"/>
                <w:lang w:val="sv-SE"/>
              </w:rPr>
              <w:t>fragilitetsfrakturer</w:t>
            </w:r>
            <w:r w:rsidRPr="009A4537">
              <w:rPr>
                <w:iCs/>
                <w:szCs w:val="22"/>
                <w:vertAlign w:val="superscript"/>
                <w:lang w:val="sv-SE"/>
              </w:rPr>
              <w:t>c</w:t>
            </w:r>
          </w:p>
        </w:tc>
        <w:tc>
          <w:tcPr>
            <w:tcW w:w="1559" w:type="dxa"/>
          </w:tcPr>
          <w:p w14:paraId="3BA53F1E" w14:textId="77777777" w:rsidR="00FD3E90" w:rsidRPr="009A4537" w:rsidRDefault="00FD3E90" w:rsidP="00C40392">
            <w:pPr>
              <w:pStyle w:val="BodyText"/>
              <w:jc w:val="center"/>
              <w:rPr>
                <w:iCs/>
                <w:szCs w:val="22"/>
                <w:lang w:val="sv-SE"/>
              </w:rPr>
            </w:pPr>
            <w:r w:rsidRPr="009A4537">
              <w:rPr>
                <w:iCs/>
                <w:szCs w:val="22"/>
                <w:lang w:val="sv-SE"/>
              </w:rPr>
              <w:t>5,5</w:t>
            </w:r>
          </w:p>
        </w:tc>
        <w:tc>
          <w:tcPr>
            <w:tcW w:w="2268" w:type="dxa"/>
          </w:tcPr>
          <w:p w14:paraId="4D7334EB" w14:textId="77777777" w:rsidR="00FD3E90" w:rsidRPr="009A4537" w:rsidRDefault="00FD3E90" w:rsidP="00C40392">
            <w:pPr>
              <w:pStyle w:val="BodyText"/>
              <w:jc w:val="center"/>
              <w:rPr>
                <w:iCs/>
                <w:szCs w:val="22"/>
                <w:lang w:val="sv-SE"/>
              </w:rPr>
            </w:pPr>
            <w:r w:rsidRPr="009A4537">
              <w:rPr>
                <w:iCs/>
                <w:szCs w:val="22"/>
                <w:lang w:val="sv-SE"/>
              </w:rPr>
              <w:t>2,6</w:t>
            </w:r>
            <w:r w:rsidR="00B85B3F" w:rsidRPr="009A4537">
              <w:rPr>
                <w:iCs/>
                <w:szCs w:val="22"/>
                <w:vertAlign w:val="superscript"/>
                <w:lang w:val="sv-SE"/>
              </w:rPr>
              <w:t>d</w:t>
            </w:r>
          </w:p>
        </w:tc>
        <w:tc>
          <w:tcPr>
            <w:tcW w:w="2268" w:type="dxa"/>
          </w:tcPr>
          <w:p w14:paraId="57C1FF19" w14:textId="77777777" w:rsidR="00FD3E90" w:rsidRPr="009A4537" w:rsidRDefault="00FD3E90" w:rsidP="00C40392">
            <w:pPr>
              <w:pStyle w:val="BodyText"/>
              <w:jc w:val="center"/>
              <w:rPr>
                <w:iCs/>
                <w:szCs w:val="22"/>
                <w:lang w:val="sv-SE"/>
              </w:rPr>
            </w:pPr>
            <w:r w:rsidRPr="009A4537">
              <w:rPr>
                <w:iCs/>
                <w:szCs w:val="22"/>
                <w:lang w:val="sv-SE"/>
              </w:rPr>
              <w:t>0,47</w:t>
            </w:r>
          </w:p>
          <w:p w14:paraId="48645938" w14:textId="77777777" w:rsidR="00FD3E90" w:rsidRPr="009A4537" w:rsidRDefault="00FD3E90" w:rsidP="00C40392">
            <w:pPr>
              <w:pStyle w:val="BodyText"/>
              <w:jc w:val="center"/>
              <w:rPr>
                <w:iCs/>
                <w:szCs w:val="22"/>
                <w:lang w:val="sv-SE"/>
              </w:rPr>
            </w:pPr>
            <w:r w:rsidRPr="009A4537">
              <w:rPr>
                <w:iCs/>
                <w:szCs w:val="22"/>
                <w:lang w:val="sv-SE"/>
              </w:rPr>
              <w:t>(0,25, 0,87)</w:t>
            </w:r>
          </w:p>
        </w:tc>
      </w:tr>
      <w:tr w:rsidR="001257FC" w:rsidRPr="009A4537" w14:paraId="22E458E7" w14:textId="77777777" w:rsidTr="00FB7CBC">
        <w:trPr>
          <w:trHeight w:val="63"/>
        </w:trPr>
        <w:tc>
          <w:tcPr>
            <w:tcW w:w="3085" w:type="dxa"/>
          </w:tcPr>
          <w:p w14:paraId="6B64906B" w14:textId="77777777" w:rsidR="00FD3E90" w:rsidRPr="009A4537" w:rsidRDefault="00FD3E90" w:rsidP="00C40392">
            <w:pPr>
              <w:pStyle w:val="BodyText"/>
              <w:rPr>
                <w:iCs/>
                <w:szCs w:val="22"/>
                <w:lang w:val="sv-SE"/>
              </w:rPr>
            </w:pPr>
            <w:r w:rsidRPr="009A4537">
              <w:rPr>
                <w:iCs/>
                <w:szCs w:val="22"/>
                <w:lang w:val="sv-SE"/>
              </w:rPr>
              <w:lastRenderedPageBreak/>
              <w:t>Större icke-vertebrala fragilitetsfrakturer</w:t>
            </w:r>
            <w:r w:rsidRPr="009A4537">
              <w:rPr>
                <w:iCs/>
                <w:szCs w:val="22"/>
                <w:vertAlign w:val="superscript"/>
                <w:lang w:val="sv-SE"/>
              </w:rPr>
              <w:t>c</w:t>
            </w:r>
            <w:r w:rsidRPr="009A4537">
              <w:rPr>
                <w:iCs/>
                <w:szCs w:val="22"/>
                <w:lang w:val="sv-SE"/>
              </w:rPr>
              <w:t xml:space="preserve"> (höft, radius, humerus, revben och bäcken)</w:t>
            </w:r>
          </w:p>
        </w:tc>
        <w:tc>
          <w:tcPr>
            <w:tcW w:w="1559" w:type="dxa"/>
          </w:tcPr>
          <w:p w14:paraId="0C05467F" w14:textId="77777777" w:rsidR="00FD3E90" w:rsidRPr="009A4537" w:rsidRDefault="00FD3E90" w:rsidP="00C40392">
            <w:pPr>
              <w:pStyle w:val="BodyText"/>
              <w:jc w:val="center"/>
              <w:rPr>
                <w:iCs/>
                <w:szCs w:val="22"/>
                <w:lang w:val="sv-SE"/>
              </w:rPr>
            </w:pPr>
            <w:r w:rsidRPr="009A4537">
              <w:rPr>
                <w:iCs/>
                <w:szCs w:val="22"/>
                <w:lang w:val="sv-SE"/>
              </w:rPr>
              <w:t>3,9</w:t>
            </w:r>
          </w:p>
        </w:tc>
        <w:tc>
          <w:tcPr>
            <w:tcW w:w="2268" w:type="dxa"/>
          </w:tcPr>
          <w:p w14:paraId="416E1FB9" w14:textId="77777777" w:rsidR="00FD3E90" w:rsidRPr="009A4537" w:rsidRDefault="00FD3E90" w:rsidP="00C40392">
            <w:pPr>
              <w:pStyle w:val="BodyText"/>
              <w:jc w:val="center"/>
              <w:rPr>
                <w:iCs/>
                <w:szCs w:val="22"/>
                <w:lang w:val="sv-SE"/>
              </w:rPr>
            </w:pPr>
            <w:r w:rsidRPr="009A4537">
              <w:rPr>
                <w:iCs/>
                <w:szCs w:val="22"/>
                <w:lang w:val="sv-SE"/>
              </w:rPr>
              <w:t>1,5</w:t>
            </w:r>
            <w:r w:rsidRPr="009A4537">
              <w:rPr>
                <w:iCs/>
                <w:szCs w:val="22"/>
                <w:vertAlign w:val="superscript"/>
                <w:lang w:val="sv-SE"/>
              </w:rPr>
              <w:t xml:space="preserve"> </w:t>
            </w:r>
            <w:r w:rsidR="00B85B3F" w:rsidRPr="009A4537">
              <w:rPr>
                <w:iCs/>
                <w:szCs w:val="22"/>
                <w:vertAlign w:val="superscript"/>
                <w:lang w:val="sv-SE"/>
              </w:rPr>
              <w:t>d</w:t>
            </w:r>
          </w:p>
        </w:tc>
        <w:tc>
          <w:tcPr>
            <w:tcW w:w="2268" w:type="dxa"/>
          </w:tcPr>
          <w:p w14:paraId="38C3CEC7" w14:textId="77777777" w:rsidR="00FD3E90" w:rsidRPr="009A4537" w:rsidRDefault="00FD3E90" w:rsidP="00C40392">
            <w:pPr>
              <w:pStyle w:val="BodyText"/>
              <w:jc w:val="center"/>
              <w:rPr>
                <w:iCs/>
                <w:szCs w:val="22"/>
                <w:lang w:val="sv-SE"/>
              </w:rPr>
            </w:pPr>
            <w:r w:rsidRPr="009A4537">
              <w:rPr>
                <w:iCs/>
                <w:szCs w:val="22"/>
                <w:lang w:val="sv-SE"/>
              </w:rPr>
              <w:t>0,38</w:t>
            </w:r>
          </w:p>
          <w:p w14:paraId="4AE08893" w14:textId="77777777" w:rsidR="00FD3E90" w:rsidRPr="009A4537" w:rsidRDefault="00FD3E90" w:rsidP="00C40392">
            <w:pPr>
              <w:pStyle w:val="BodyText"/>
              <w:jc w:val="center"/>
              <w:rPr>
                <w:iCs/>
                <w:szCs w:val="22"/>
                <w:lang w:val="sv-SE"/>
              </w:rPr>
            </w:pPr>
            <w:r w:rsidRPr="009A4537">
              <w:rPr>
                <w:iCs/>
                <w:szCs w:val="22"/>
                <w:lang w:val="sv-SE"/>
              </w:rPr>
              <w:t>(0,17, 0,86)</w:t>
            </w:r>
          </w:p>
        </w:tc>
      </w:tr>
    </w:tbl>
    <w:p w14:paraId="2D33662B" w14:textId="77777777" w:rsidR="00FD3E90" w:rsidRPr="009A4537" w:rsidRDefault="00FD3E90" w:rsidP="00C40392">
      <w:pPr>
        <w:pStyle w:val="BodyText"/>
        <w:rPr>
          <w:iCs/>
          <w:sz w:val="18"/>
          <w:szCs w:val="18"/>
          <w:lang w:val="sv-SE"/>
        </w:rPr>
      </w:pPr>
      <w:r w:rsidRPr="009A4537">
        <w:rPr>
          <w:iCs/>
          <w:sz w:val="18"/>
          <w:szCs w:val="18"/>
          <w:lang w:val="sv-SE"/>
        </w:rPr>
        <w:t>Förkortningar: N = antal patienter slumpmässigt tilldelade en behandlingsgrupp; KI = </w:t>
      </w:r>
      <w:r w:rsidR="00CF3FAB" w:rsidRPr="009A4537">
        <w:rPr>
          <w:iCs/>
          <w:sz w:val="18"/>
          <w:szCs w:val="18"/>
          <w:lang w:val="sv-SE"/>
        </w:rPr>
        <w:t>k</w:t>
      </w:r>
      <w:r w:rsidRPr="009A4537">
        <w:rPr>
          <w:iCs/>
          <w:sz w:val="18"/>
          <w:szCs w:val="18"/>
          <w:lang w:val="sv-SE"/>
        </w:rPr>
        <w:t>onfidensintervall</w:t>
      </w:r>
    </w:p>
    <w:p w14:paraId="27E347B4" w14:textId="77777777" w:rsidR="00FD3E90" w:rsidRPr="009A4537" w:rsidRDefault="00FD3E90" w:rsidP="001F39B9">
      <w:pPr>
        <w:pStyle w:val="BodyText"/>
        <w:keepNext/>
        <w:rPr>
          <w:iCs/>
          <w:sz w:val="18"/>
          <w:szCs w:val="18"/>
          <w:lang w:val="sv-SE"/>
        </w:rPr>
      </w:pPr>
      <w:r w:rsidRPr="009A4537">
        <w:rPr>
          <w:iCs/>
          <w:sz w:val="18"/>
          <w:szCs w:val="18"/>
          <w:vertAlign w:val="superscript"/>
          <w:lang w:val="sv-SE"/>
        </w:rPr>
        <w:t>a</w:t>
      </w:r>
      <w:r w:rsidRPr="009A4537">
        <w:rPr>
          <w:iCs/>
          <w:sz w:val="18"/>
          <w:szCs w:val="18"/>
          <w:lang w:val="sv-SE"/>
        </w:rPr>
        <w:t xml:space="preserve"> Incidensen vertebrala frakturer bestämdes hos 448</w:t>
      </w:r>
      <w:r w:rsidR="00EF2353" w:rsidRPr="009A4537">
        <w:rPr>
          <w:iCs/>
          <w:sz w:val="18"/>
          <w:szCs w:val="18"/>
          <w:lang w:val="sv-SE"/>
        </w:rPr>
        <w:t> patienter</w:t>
      </w:r>
      <w:r w:rsidRPr="009A4537">
        <w:rPr>
          <w:iCs/>
          <w:sz w:val="18"/>
          <w:szCs w:val="18"/>
          <w:lang w:val="sv-SE"/>
        </w:rPr>
        <w:t xml:space="preserve"> behandlade med placebo och hos 444</w:t>
      </w:r>
      <w:r w:rsidR="00EF2353" w:rsidRPr="009A4537">
        <w:rPr>
          <w:iCs/>
          <w:sz w:val="18"/>
          <w:szCs w:val="18"/>
          <w:lang w:val="sv-SE"/>
        </w:rPr>
        <w:t> patienter</w:t>
      </w:r>
      <w:r w:rsidRPr="009A4537">
        <w:rPr>
          <w:iCs/>
          <w:sz w:val="18"/>
          <w:szCs w:val="18"/>
          <w:lang w:val="sv-SE"/>
        </w:rPr>
        <w:t xml:space="preserve"> behandlade med </w:t>
      </w:r>
      <w:r w:rsidR="001A5B27" w:rsidRPr="009A4537">
        <w:rPr>
          <w:iCs/>
          <w:sz w:val="18"/>
          <w:szCs w:val="18"/>
          <w:lang w:val="sv-SE"/>
        </w:rPr>
        <w:t>teriparatid</w:t>
      </w:r>
      <w:r w:rsidRPr="009A4537">
        <w:rPr>
          <w:iCs/>
          <w:sz w:val="18"/>
          <w:szCs w:val="18"/>
          <w:lang w:val="sv-SE"/>
        </w:rPr>
        <w:t xml:space="preserve"> som genomgått radiografi av ryggraden vid studiens början och vid uppföljningskontroll.</w:t>
      </w:r>
    </w:p>
    <w:p w14:paraId="55429430" w14:textId="77777777" w:rsidR="00FD3E90" w:rsidRPr="009A4537" w:rsidRDefault="00FD3E90" w:rsidP="001F39B9">
      <w:pPr>
        <w:pStyle w:val="BodyText"/>
        <w:keepNext/>
        <w:rPr>
          <w:iCs/>
          <w:sz w:val="18"/>
          <w:szCs w:val="18"/>
          <w:lang w:val="sv-SE"/>
        </w:rPr>
      </w:pPr>
      <w:r w:rsidRPr="009A4537">
        <w:rPr>
          <w:iCs/>
          <w:sz w:val="18"/>
          <w:szCs w:val="18"/>
          <w:vertAlign w:val="superscript"/>
          <w:lang w:val="sv-SE"/>
        </w:rPr>
        <w:t>b</w:t>
      </w:r>
      <w:r w:rsidRPr="009A4537">
        <w:rPr>
          <w:iCs/>
          <w:sz w:val="18"/>
          <w:szCs w:val="18"/>
          <w:lang w:val="sv-SE"/>
        </w:rPr>
        <w:t xml:space="preserve"> p≤0,001 jämfört med placebo.</w:t>
      </w:r>
    </w:p>
    <w:p w14:paraId="763BE06F" w14:textId="77777777" w:rsidR="00FD3E90" w:rsidRPr="009A4537" w:rsidRDefault="00B85B3F" w:rsidP="001F39B9">
      <w:pPr>
        <w:pStyle w:val="BodyText"/>
        <w:keepNext/>
        <w:rPr>
          <w:iCs/>
          <w:sz w:val="18"/>
          <w:szCs w:val="18"/>
          <w:lang w:val="sv-SE"/>
        </w:rPr>
      </w:pPr>
      <w:r w:rsidRPr="009A4537">
        <w:rPr>
          <w:iCs/>
          <w:sz w:val="18"/>
          <w:szCs w:val="18"/>
          <w:vertAlign w:val="superscript"/>
          <w:lang w:val="sv-SE"/>
        </w:rPr>
        <w:t>c</w:t>
      </w:r>
      <w:r w:rsidRPr="009A4537">
        <w:rPr>
          <w:iCs/>
          <w:sz w:val="18"/>
          <w:szCs w:val="18"/>
          <w:lang w:val="sv-SE"/>
        </w:rPr>
        <w:t xml:space="preserve"> Signifikant reduktion av incidens höftfrakturer har inte visats</w:t>
      </w:r>
      <w:r w:rsidR="00B42BE5" w:rsidRPr="009A4537">
        <w:rPr>
          <w:iCs/>
          <w:sz w:val="18"/>
          <w:szCs w:val="18"/>
          <w:lang w:val="sv-SE"/>
        </w:rPr>
        <w:t>.</w:t>
      </w:r>
    </w:p>
    <w:p w14:paraId="721DEAD9" w14:textId="77777777" w:rsidR="00FD3E90" w:rsidRPr="009A4537" w:rsidRDefault="00B85B3F" w:rsidP="001F39B9">
      <w:pPr>
        <w:pStyle w:val="BodyText"/>
        <w:keepNext/>
        <w:rPr>
          <w:iCs/>
          <w:sz w:val="18"/>
          <w:szCs w:val="18"/>
          <w:lang w:val="sv-SE"/>
        </w:rPr>
      </w:pPr>
      <w:r w:rsidRPr="009A4537">
        <w:rPr>
          <w:iCs/>
          <w:sz w:val="18"/>
          <w:szCs w:val="18"/>
          <w:vertAlign w:val="superscript"/>
          <w:lang w:val="sv-SE"/>
        </w:rPr>
        <w:t>d</w:t>
      </w:r>
      <w:r w:rsidR="00FD3E90" w:rsidRPr="009A4537">
        <w:rPr>
          <w:iCs/>
          <w:sz w:val="18"/>
          <w:szCs w:val="18"/>
          <w:lang w:val="sv-SE"/>
        </w:rPr>
        <w:t xml:space="preserve"> p≤0,025 jämfört med placebo.</w:t>
      </w:r>
    </w:p>
    <w:p w14:paraId="00C76FA9" w14:textId="77777777" w:rsidR="00FD3E90" w:rsidRPr="009A4537" w:rsidRDefault="00FD3E90">
      <w:pPr>
        <w:pStyle w:val="BodyText"/>
        <w:rPr>
          <w:iCs/>
          <w:szCs w:val="22"/>
          <w:lang w:val="sv-SE"/>
        </w:rPr>
      </w:pPr>
    </w:p>
    <w:p w14:paraId="7E135E5D" w14:textId="77777777" w:rsidR="00FD3E90" w:rsidRPr="009A4537" w:rsidRDefault="00FD3E90">
      <w:pPr>
        <w:pStyle w:val="BodyText"/>
        <w:rPr>
          <w:iCs/>
          <w:szCs w:val="22"/>
          <w:lang w:val="sv-SE"/>
        </w:rPr>
      </w:pPr>
      <w:r w:rsidRPr="009A4537">
        <w:rPr>
          <w:iCs/>
          <w:szCs w:val="22"/>
          <w:lang w:val="sv-SE"/>
        </w:rPr>
        <w:t>BMD i ländkotpelaren och i höften totalt hade ökat efter 19</w:t>
      </w:r>
      <w:r w:rsidR="00320409" w:rsidRPr="009A4537">
        <w:rPr>
          <w:iCs/>
          <w:szCs w:val="22"/>
          <w:lang w:val="sv-SE"/>
        </w:rPr>
        <w:t> </w:t>
      </w:r>
      <w:r w:rsidRPr="009A4537">
        <w:rPr>
          <w:iCs/>
          <w:szCs w:val="22"/>
          <w:lang w:val="sv-SE"/>
        </w:rPr>
        <w:t>månaders (median) behandling med 9 % respektive 4 % jämfört med placebo (p&lt;0,001).</w:t>
      </w:r>
    </w:p>
    <w:p w14:paraId="481809ED" w14:textId="77777777" w:rsidR="00FD3E90" w:rsidRPr="009A4537" w:rsidRDefault="00FD3E90">
      <w:pPr>
        <w:pStyle w:val="BodyText"/>
        <w:rPr>
          <w:iCs/>
          <w:szCs w:val="22"/>
          <w:lang w:val="sv-SE"/>
        </w:rPr>
      </w:pPr>
    </w:p>
    <w:p w14:paraId="5D419CF1" w14:textId="77777777" w:rsidR="00FD3E90" w:rsidRPr="009A4537" w:rsidRDefault="00FD3E90">
      <w:pPr>
        <w:pStyle w:val="BodyText"/>
        <w:rPr>
          <w:iCs/>
          <w:szCs w:val="22"/>
          <w:lang w:val="sv-SE"/>
        </w:rPr>
      </w:pPr>
      <w:r w:rsidRPr="009A4537">
        <w:rPr>
          <w:iCs/>
          <w:szCs w:val="22"/>
          <w:lang w:val="sv-SE"/>
        </w:rPr>
        <w:t xml:space="preserve">Efter behandlingen: Efter behandlingen med </w:t>
      </w:r>
      <w:r w:rsidR="00320409" w:rsidRPr="009A4537">
        <w:rPr>
          <w:iCs/>
          <w:szCs w:val="22"/>
          <w:lang w:val="sv-SE"/>
        </w:rPr>
        <w:t>teriparatid</w:t>
      </w:r>
      <w:r w:rsidRPr="009A4537">
        <w:rPr>
          <w:iCs/>
          <w:szCs w:val="22"/>
          <w:lang w:val="sv-SE"/>
        </w:rPr>
        <w:t xml:space="preserve"> fortsatte 1</w:t>
      </w:r>
      <w:r w:rsidR="00320409" w:rsidRPr="009A4537">
        <w:rPr>
          <w:iCs/>
          <w:szCs w:val="22"/>
          <w:lang w:val="sv-SE"/>
        </w:rPr>
        <w:t> </w:t>
      </w:r>
      <w:r w:rsidRPr="009A4537">
        <w:rPr>
          <w:iCs/>
          <w:szCs w:val="22"/>
          <w:lang w:val="sv-SE"/>
        </w:rPr>
        <w:t>262</w:t>
      </w:r>
      <w:r w:rsidR="00320409" w:rsidRPr="009A4537">
        <w:rPr>
          <w:iCs/>
          <w:szCs w:val="22"/>
          <w:lang w:val="sv-SE"/>
        </w:rPr>
        <w:t> </w:t>
      </w:r>
      <w:r w:rsidRPr="009A4537">
        <w:rPr>
          <w:iCs/>
          <w:szCs w:val="22"/>
          <w:lang w:val="sv-SE"/>
        </w:rPr>
        <w:t xml:space="preserve">postmenopausala kvinnor från den pivotala </w:t>
      </w:r>
      <w:r w:rsidR="00CF3FAB" w:rsidRPr="009A4537">
        <w:rPr>
          <w:iCs/>
          <w:szCs w:val="22"/>
          <w:lang w:val="sv-SE"/>
        </w:rPr>
        <w:t>prövningen</w:t>
      </w:r>
      <w:r w:rsidRPr="009A4537">
        <w:rPr>
          <w:iCs/>
          <w:szCs w:val="22"/>
          <w:lang w:val="sv-SE"/>
        </w:rPr>
        <w:t xml:space="preserve"> i en uppföljande </w:t>
      </w:r>
      <w:r w:rsidR="00D97A65" w:rsidRPr="009A4537">
        <w:rPr>
          <w:iCs/>
          <w:szCs w:val="22"/>
          <w:lang w:val="sv-SE"/>
        </w:rPr>
        <w:t>prövning</w:t>
      </w:r>
      <w:r w:rsidRPr="009A4537">
        <w:rPr>
          <w:iCs/>
          <w:szCs w:val="22"/>
          <w:lang w:val="sv-SE"/>
        </w:rPr>
        <w:t xml:space="preserve">. Syftet med </w:t>
      </w:r>
      <w:r w:rsidR="00D97A65" w:rsidRPr="009A4537">
        <w:rPr>
          <w:iCs/>
          <w:szCs w:val="22"/>
          <w:lang w:val="sv-SE"/>
        </w:rPr>
        <w:t>prövningen</w:t>
      </w:r>
      <w:r w:rsidRPr="009A4537">
        <w:rPr>
          <w:iCs/>
          <w:szCs w:val="22"/>
          <w:lang w:val="sv-SE"/>
        </w:rPr>
        <w:t xml:space="preserve"> var primärt att insamla säkerhetsdata. Under observationsperioden tilläts andra osteoporosbehandlingar och ytterligare bedömningar av kotfrakturer gjordes.</w:t>
      </w:r>
    </w:p>
    <w:p w14:paraId="392EAD35" w14:textId="77777777" w:rsidR="00FD3E90" w:rsidRPr="009A4537" w:rsidRDefault="00FD3E90">
      <w:pPr>
        <w:pStyle w:val="BodyText"/>
        <w:rPr>
          <w:iCs/>
          <w:szCs w:val="22"/>
          <w:lang w:val="sv-SE"/>
        </w:rPr>
      </w:pPr>
    </w:p>
    <w:p w14:paraId="4EB7940F" w14:textId="77777777" w:rsidR="00FD3E90" w:rsidRPr="009A4537" w:rsidRDefault="00FD3E90">
      <w:pPr>
        <w:pStyle w:val="BodyText"/>
        <w:rPr>
          <w:iCs/>
          <w:szCs w:val="22"/>
          <w:lang w:val="sv-SE"/>
        </w:rPr>
      </w:pPr>
      <w:r w:rsidRPr="009A4537">
        <w:rPr>
          <w:iCs/>
          <w:szCs w:val="22"/>
          <w:lang w:val="sv-SE"/>
        </w:rPr>
        <w:t>18</w:t>
      </w:r>
      <w:r w:rsidR="00320409" w:rsidRPr="009A4537">
        <w:rPr>
          <w:iCs/>
          <w:szCs w:val="22"/>
          <w:lang w:val="sv-SE"/>
        </w:rPr>
        <w:t> </w:t>
      </w:r>
      <w:r w:rsidRPr="009A4537">
        <w:rPr>
          <w:iCs/>
          <w:szCs w:val="22"/>
          <w:lang w:val="sv-SE"/>
        </w:rPr>
        <w:t>(median)</w:t>
      </w:r>
      <w:r w:rsidR="00320409" w:rsidRPr="009A4537">
        <w:rPr>
          <w:iCs/>
          <w:szCs w:val="22"/>
          <w:lang w:val="sv-SE"/>
        </w:rPr>
        <w:t> </w:t>
      </w:r>
      <w:r w:rsidRPr="009A4537">
        <w:rPr>
          <w:iCs/>
          <w:szCs w:val="22"/>
          <w:lang w:val="sv-SE"/>
        </w:rPr>
        <w:t xml:space="preserve">månader efter </w:t>
      </w:r>
      <w:r w:rsidR="00320409" w:rsidRPr="009A4537">
        <w:rPr>
          <w:iCs/>
          <w:szCs w:val="22"/>
          <w:lang w:val="sv-SE"/>
        </w:rPr>
        <w:t>teriparatid</w:t>
      </w:r>
      <w:r w:rsidRPr="009A4537">
        <w:rPr>
          <w:iCs/>
          <w:szCs w:val="22"/>
          <w:lang w:val="sv-SE"/>
        </w:rPr>
        <w:t>behandlingens slut kunde konstateras att antalet patienter med minst en ny kotfraktur minskat med 41 % (p=0,004) jämfört med placebo.</w:t>
      </w:r>
    </w:p>
    <w:p w14:paraId="73B7DA10" w14:textId="77777777" w:rsidR="00FD3E90" w:rsidRPr="009A4537" w:rsidRDefault="00FD3E90">
      <w:pPr>
        <w:pStyle w:val="BodyText"/>
        <w:rPr>
          <w:iCs/>
          <w:szCs w:val="22"/>
          <w:lang w:val="sv-SE"/>
        </w:rPr>
      </w:pPr>
    </w:p>
    <w:p w14:paraId="6F35971D" w14:textId="77777777" w:rsidR="009D7269" w:rsidRPr="009A4537" w:rsidRDefault="001F39B9">
      <w:pPr>
        <w:pStyle w:val="BodyText"/>
        <w:rPr>
          <w:iCs/>
          <w:szCs w:val="22"/>
          <w:lang w:val="sv-SE"/>
        </w:rPr>
      </w:pPr>
      <w:r w:rsidRPr="009A4537">
        <w:rPr>
          <w:iCs/>
          <w:szCs w:val="22"/>
          <w:lang w:val="sv-SE"/>
        </w:rPr>
        <w:t xml:space="preserve">I en öppen </w:t>
      </w:r>
      <w:r w:rsidR="00320409" w:rsidRPr="009A4537">
        <w:rPr>
          <w:iCs/>
          <w:szCs w:val="22"/>
          <w:lang w:val="sv-SE"/>
        </w:rPr>
        <w:t>prövning</w:t>
      </w:r>
      <w:r w:rsidRPr="009A4537">
        <w:rPr>
          <w:iCs/>
          <w:szCs w:val="22"/>
          <w:lang w:val="sv-SE"/>
        </w:rPr>
        <w:t xml:space="preserve"> behandlades </w:t>
      </w:r>
      <w:r w:rsidR="00500767" w:rsidRPr="009A4537">
        <w:rPr>
          <w:iCs/>
          <w:szCs w:val="22"/>
          <w:lang w:val="sv-SE"/>
        </w:rPr>
        <w:t>503</w:t>
      </w:r>
      <w:r w:rsidR="00320409" w:rsidRPr="009A4537">
        <w:rPr>
          <w:iCs/>
          <w:szCs w:val="22"/>
          <w:lang w:val="sv-SE"/>
        </w:rPr>
        <w:t> </w:t>
      </w:r>
      <w:r w:rsidRPr="009A4537">
        <w:rPr>
          <w:iCs/>
          <w:szCs w:val="22"/>
          <w:lang w:val="sv-SE"/>
        </w:rPr>
        <w:t xml:space="preserve">postmenopausala kvinnor med svår osteoporos som haft en </w:t>
      </w:r>
      <w:r w:rsidR="00702C6B" w:rsidRPr="009A4537">
        <w:rPr>
          <w:iCs/>
          <w:szCs w:val="22"/>
          <w:lang w:val="sv-SE"/>
        </w:rPr>
        <w:t>fragilitets</w:t>
      </w:r>
      <w:r w:rsidRPr="009A4537">
        <w:rPr>
          <w:iCs/>
          <w:szCs w:val="22"/>
          <w:lang w:val="sv-SE"/>
        </w:rPr>
        <w:t xml:space="preserve">fraktur </w:t>
      </w:r>
      <w:r w:rsidR="008D1CB2" w:rsidRPr="009A4537">
        <w:rPr>
          <w:iCs/>
          <w:szCs w:val="22"/>
          <w:lang w:val="sv-SE"/>
        </w:rPr>
        <w:t>under</w:t>
      </w:r>
      <w:r w:rsidRPr="009A4537">
        <w:rPr>
          <w:iCs/>
          <w:szCs w:val="22"/>
          <w:lang w:val="sv-SE"/>
        </w:rPr>
        <w:t xml:space="preserve"> de senaste 3</w:t>
      </w:r>
      <w:r w:rsidR="00320409" w:rsidRPr="009A4537">
        <w:rPr>
          <w:iCs/>
          <w:szCs w:val="22"/>
          <w:lang w:val="sv-SE"/>
        </w:rPr>
        <w:t> </w:t>
      </w:r>
      <w:r w:rsidRPr="009A4537">
        <w:rPr>
          <w:iCs/>
          <w:szCs w:val="22"/>
          <w:lang w:val="sv-SE"/>
        </w:rPr>
        <w:t>åren (</w:t>
      </w:r>
      <w:r w:rsidR="00500767" w:rsidRPr="009A4537">
        <w:rPr>
          <w:iCs/>
          <w:szCs w:val="22"/>
          <w:lang w:val="sv-SE"/>
        </w:rPr>
        <w:t>83</w:t>
      </w:r>
      <w:r w:rsidR="00320409" w:rsidRPr="009A4537">
        <w:rPr>
          <w:iCs/>
          <w:szCs w:val="22"/>
          <w:lang w:val="sv-SE"/>
        </w:rPr>
        <w:t> </w:t>
      </w:r>
      <w:r w:rsidRPr="009A4537">
        <w:rPr>
          <w:iCs/>
          <w:szCs w:val="22"/>
          <w:lang w:val="sv-SE"/>
        </w:rPr>
        <w:t>% hade tidigare fått osteoporosbehandling) med</w:t>
      </w:r>
      <w:r w:rsidR="009D7269" w:rsidRPr="009A4537">
        <w:rPr>
          <w:iCs/>
          <w:szCs w:val="22"/>
          <w:lang w:val="sv-SE"/>
        </w:rPr>
        <w:t xml:space="preserve"> </w:t>
      </w:r>
      <w:r w:rsidR="00320409" w:rsidRPr="009A4537">
        <w:rPr>
          <w:iCs/>
          <w:szCs w:val="22"/>
          <w:lang w:val="sv-SE"/>
        </w:rPr>
        <w:t>teriparatid</w:t>
      </w:r>
      <w:r w:rsidR="009D7269" w:rsidRPr="009A4537">
        <w:rPr>
          <w:iCs/>
          <w:szCs w:val="22"/>
          <w:lang w:val="sv-SE"/>
        </w:rPr>
        <w:t xml:space="preserve"> i upp till 24</w:t>
      </w:r>
      <w:r w:rsidR="00320409" w:rsidRPr="009A4537">
        <w:rPr>
          <w:iCs/>
          <w:szCs w:val="22"/>
          <w:lang w:val="sv-SE"/>
        </w:rPr>
        <w:t> </w:t>
      </w:r>
      <w:r w:rsidR="009D7269" w:rsidRPr="009A4537">
        <w:rPr>
          <w:iCs/>
          <w:szCs w:val="22"/>
          <w:lang w:val="sv-SE"/>
        </w:rPr>
        <w:t>månader. Vid 24</w:t>
      </w:r>
      <w:r w:rsidR="00320409" w:rsidRPr="009A4537">
        <w:rPr>
          <w:iCs/>
          <w:szCs w:val="22"/>
          <w:lang w:val="sv-SE"/>
        </w:rPr>
        <w:t> </w:t>
      </w:r>
      <w:r w:rsidR="009D7269" w:rsidRPr="009A4537">
        <w:rPr>
          <w:iCs/>
          <w:szCs w:val="22"/>
          <w:lang w:val="sv-SE"/>
        </w:rPr>
        <w:t xml:space="preserve">månader var medelökningen </w:t>
      </w:r>
      <w:r w:rsidR="008D1CB2" w:rsidRPr="009A4537">
        <w:rPr>
          <w:iCs/>
          <w:szCs w:val="22"/>
          <w:lang w:val="sv-SE"/>
        </w:rPr>
        <w:t xml:space="preserve">från studiestart </w:t>
      </w:r>
      <w:r w:rsidR="009D7269" w:rsidRPr="009A4537">
        <w:rPr>
          <w:iCs/>
          <w:szCs w:val="22"/>
          <w:lang w:val="sv-SE"/>
        </w:rPr>
        <w:t xml:space="preserve">av BMD i ländkotpelaren, höften totalt och lårbenshalsen </w:t>
      </w:r>
      <w:r w:rsidR="00500767" w:rsidRPr="009A4537">
        <w:rPr>
          <w:iCs/>
          <w:szCs w:val="22"/>
          <w:lang w:val="sv-SE"/>
        </w:rPr>
        <w:t>10,5</w:t>
      </w:r>
      <w:r w:rsidR="00320409" w:rsidRPr="009A4537">
        <w:rPr>
          <w:iCs/>
          <w:szCs w:val="22"/>
          <w:lang w:val="sv-SE"/>
        </w:rPr>
        <w:t> </w:t>
      </w:r>
      <w:r w:rsidR="009D7269" w:rsidRPr="009A4537">
        <w:rPr>
          <w:iCs/>
          <w:szCs w:val="22"/>
          <w:lang w:val="sv-SE"/>
        </w:rPr>
        <w:t>%, 2,6</w:t>
      </w:r>
      <w:r w:rsidR="00320409" w:rsidRPr="009A4537">
        <w:rPr>
          <w:iCs/>
          <w:szCs w:val="22"/>
          <w:lang w:val="sv-SE"/>
        </w:rPr>
        <w:t> </w:t>
      </w:r>
      <w:r w:rsidR="009D7269" w:rsidRPr="009A4537">
        <w:rPr>
          <w:iCs/>
          <w:szCs w:val="22"/>
          <w:lang w:val="sv-SE"/>
        </w:rPr>
        <w:t xml:space="preserve">% respektive </w:t>
      </w:r>
      <w:r w:rsidR="00500767" w:rsidRPr="009A4537">
        <w:rPr>
          <w:iCs/>
          <w:szCs w:val="22"/>
          <w:lang w:val="sv-SE"/>
        </w:rPr>
        <w:t>3,9</w:t>
      </w:r>
      <w:r w:rsidR="00320409" w:rsidRPr="009A4537">
        <w:rPr>
          <w:iCs/>
          <w:szCs w:val="22"/>
          <w:lang w:val="sv-SE"/>
        </w:rPr>
        <w:t> </w:t>
      </w:r>
      <w:r w:rsidR="009D7269" w:rsidRPr="009A4537">
        <w:rPr>
          <w:iCs/>
          <w:szCs w:val="22"/>
          <w:lang w:val="sv-SE"/>
        </w:rPr>
        <w:t>%. Medelökningen i BMD från 18 till 24</w:t>
      </w:r>
      <w:r w:rsidR="00320409" w:rsidRPr="009A4537">
        <w:rPr>
          <w:iCs/>
          <w:szCs w:val="22"/>
          <w:lang w:val="sv-SE"/>
        </w:rPr>
        <w:t> </w:t>
      </w:r>
      <w:r w:rsidR="009D7269" w:rsidRPr="009A4537">
        <w:rPr>
          <w:iCs/>
          <w:szCs w:val="22"/>
          <w:lang w:val="sv-SE"/>
        </w:rPr>
        <w:t>månader i ländkotpelaren, höften totalt och lårbenshalsen var 1,</w:t>
      </w:r>
      <w:r w:rsidR="00500767" w:rsidRPr="009A4537">
        <w:rPr>
          <w:iCs/>
          <w:szCs w:val="22"/>
          <w:lang w:val="sv-SE"/>
        </w:rPr>
        <w:t>4</w:t>
      </w:r>
      <w:r w:rsidR="00320409" w:rsidRPr="009A4537">
        <w:rPr>
          <w:iCs/>
          <w:szCs w:val="22"/>
          <w:lang w:val="sv-SE"/>
        </w:rPr>
        <w:t> </w:t>
      </w:r>
      <w:r w:rsidR="009D7269" w:rsidRPr="009A4537">
        <w:rPr>
          <w:iCs/>
          <w:szCs w:val="22"/>
          <w:lang w:val="sv-SE"/>
        </w:rPr>
        <w:t>%, 1,</w:t>
      </w:r>
      <w:r w:rsidR="00500767" w:rsidRPr="009A4537">
        <w:rPr>
          <w:iCs/>
          <w:szCs w:val="22"/>
          <w:lang w:val="sv-SE"/>
        </w:rPr>
        <w:t>2</w:t>
      </w:r>
      <w:r w:rsidR="00320409" w:rsidRPr="009A4537">
        <w:rPr>
          <w:iCs/>
          <w:szCs w:val="22"/>
          <w:lang w:val="sv-SE"/>
        </w:rPr>
        <w:t> </w:t>
      </w:r>
      <w:r w:rsidR="009D7269" w:rsidRPr="009A4537">
        <w:rPr>
          <w:iCs/>
          <w:szCs w:val="22"/>
          <w:lang w:val="sv-SE"/>
        </w:rPr>
        <w:t xml:space="preserve">% respektive </w:t>
      </w:r>
      <w:r w:rsidR="00500767" w:rsidRPr="009A4537">
        <w:rPr>
          <w:iCs/>
          <w:szCs w:val="22"/>
          <w:lang w:val="sv-SE"/>
        </w:rPr>
        <w:t>1,6</w:t>
      </w:r>
      <w:r w:rsidR="00320409" w:rsidRPr="009A4537">
        <w:rPr>
          <w:iCs/>
          <w:szCs w:val="22"/>
          <w:lang w:val="sv-SE"/>
        </w:rPr>
        <w:t> </w:t>
      </w:r>
      <w:r w:rsidR="009D7269" w:rsidRPr="009A4537">
        <w:rPr>
          <w:iCs/>
          <w:szCs w:val="22"/>
          <w:lang w:val="sv-SE"/>
        </w:rPr>
        <w:t>%.</w:t>
      </w:r>
    </w:p>
    <w:p w14:paraId="75F324C0" w14:textId="77777777" w:rsidR="00270F31" w:rsidRPr="009A4537" w:rsidRDefault="00270F31" w:rsidP="003743B8">
      <w:pPr>
        <w:rPr>
          <w:color w:val="222222"/>
          <w:lang w:val="sv-SE"/>
        </w:rPr>
      </w:pPr>
    </w:p>
    <w:p w14:paraId="0BD5C547" w14:textId="77777777" w:rsidR="003743B8" w:rsidRPr="009A4537" w:rsidRDefault="00F806F1" w:rsidP="003743B8">
      <w:pPr>
        <w:rPr>
          <w:rFonts w:eastAsia="Calibri"/>
          <w:szCs w:val="22"/>
          <w:u w:val="single"/>
          <w:lang w:val="sv-SE"/>
        </w:rPr>
      </w:pPr>
      <w:r w:rsidRPr="009A4537">
        <w:rPr>
          <w:color w:val="222222"/>
          <w:lang w:val="sv-SE"/>
        </w:rPr>
        <w:t>En 24</w:t>
      </w:r>
      <w:r w:rsidR="00320409" w:rsidRPr="009A4537">
        <w:rPr>
          <w:color w:val="222222"/>
          <w:lang w:val="sv-SE"/>
        </w:rPr>
        <w:noBreakHyphen/>
      </w:r>
      <w:r w:rsidRPr="009A4537">
        <w:rPr>
          <w:color w:val="222222"/>
          <w:lang w:val="sv-SE"/>
        </w:rPr>
        <w:t>månaders randomiserad, dubbelblind fas 4</w:t>
      </w:r>
      <w:r w:rsidR="00320409" w:rsidRPr="009A4537">
        <w:rPr>
          <w:color w:val="222222"/>
          <w:lang w:val="sv-SE"/>
        </w:rPr>
        <w:noBreakHyphen/>
        <w:t>prövning</w:t>
      </w:r>
      <w:r w:rsidRPr="009A4537">
        <w:rPr>
          <w:color w:val="222222"/>
          <w:lang w:val="sv-SE"/>
        </w:rPr>
        <w:t>, kontrollerad med jämförels</w:t>
      </w:r>
      <w:r w:rsidR="00D212DE" w:rsidRPr="009A4537">
        <w:rPr>
          <w:color w:val="222222"/>
          <w:lang w:val="sv-SE"/>
        </w:rPr>
        <w:t>e</w:t>
      </w:r>
      <w:r w:rsidRPr="009A4537">
        <w:rPr>
          <w:color w:val="222222"/>
          <w:lang w:val="sv-SE"/>
        </w:rPr>
        <w:t>läkemedel</w:t>
      </w:r>
      <w:r w:rsidR="00D3701F" w:rsidRPr="009A4537">
        <w:rPr>
          <w:color w:val="222222"/>
          <w:lang w:val="sv-SE"/>
        </w:rPr>
        <w:t>,</w:t>
      </w:r>
      <w:r w:rsidRPr="009A4537">
        <w:rPr>
          <w:color w:val="222222"/>
          <w:lang w:val="sv-SE"/>
        </w:rPr>
        <w:t xml:space="preserve"> inkluderade 1</w:t>
      </w:r>
      <w:r w:rsidR="00320409" w:rsidRPr="009A4537">
        <w:rPr>
          <w:color w:val="222222"/>
          <w:lang w:val="sv-SE"/>
        </w:rPr>
        <w:t> </w:t>
      </w:r>
      <w:r w:rsidRPr="009A4537">
        <w:rPr>
          <w:color w:val="222222"/>
          <w:lang w:val="sv-SE"/>
        </w:rPr>
        <w:t>360</w:t>
      </w:r>
      <w:r w:rsidR="00320409" w:rsidRPr="009A4537">
        <w:rPr>
          <w:color w:val="222222"/>
          <w:lang w:val="sv-SE"/>
        </w:rPr>
        <w:t> </w:t>
      </w:r>
      <w:r w:rsidRPr="009A4537">
        <w:rPr>
          <w:color w:val="222222"/>
          <w:lang w:val="sv-SE"/>
        </w:rPr>
        <w:t xml:space="preserve">postmenopausala kvinnor med </w:t>
      </w:r>
      <w:r w:rsidR="00D212DE" w:rsidRPr="009A4537">
        <w:rPr>
          <w:color w:val="222222"/>
          <w:lang w:val="sv-SE"/>
        </w:rPr>
        <w:t>diagnosti</w:t>
      </w:r>
      <w:r w:rsidR="00CF3FAB" w:rsidRPr="009A4537">
        <w:rPr>
          <w:color w:val="222222"/>
          <w:lang w:val="sv-SE"/>
        </w:rPr>
        <w:t>s</w:t>
      </w:r>
      <w:r w:rsidR="00D212DE" w:rsidRPr="009A4537">
        <w:rPr>
          <w:color w:val="222222"/>
          <w:lang w:val="sv-SE"/>
        </w:rPr>
        <w:t>erad</w:t>
      </w:r>
      <w:r w:rsidRPr="009A4537">
        <w:rPr>
          <w:color w:val="222222"/>
          <w:lang w:val="sv-SE"/>
        </w:rPr>
        <w:t xml:space="preserve"> osteoporos. 680</w:t>
      </w:r>
      <w:r w:rsidR="00320409" w:rsidRPr="009A4537">
        <w:rPr>
          <w:color w:val="222222"/>
          <w:lang w:val="sv-SE"/>
        </w:rPr>
        <w:t> </w:t>
      </w:r>
      <w:r w:rsidRPr="009A4537">
        <w:rPr>
          <w:color w:val="222222"/>
          <w:lang w:val="sv-SE"/>
        </w:rPr>
        <w:t xml:space="preserve">individer randomiserades till </w:t>
      </w:r>
      <w:r w:rsidR="00320409" w:rsidRPr="009A4537">
        <w:rPr>
          <w:color w:val="222222"/>
          <w:lang w:val="sv-SE"/>
        </w:rPr>
        <w:t>teriparatid</w:t>
      </w:r>
      <w:r w:rsidRPr="009A4537">
        <w:rPr>
          <w:color w:val="222222"/>
          <w:lang w:val="sv-SE"/>
        </w:rPr>
        <w:t xml:space="preserve"> och 680</w:t>
      </w:r>
      <w:r w:rsidR="00320409" w:rsidRPr="009A4537">
        <w:rPr>
          <w:color w:val="222222"/>
          <w:lang w:val="sv-SE"/>
        </w:rPr>
        <w:t> </w:t>
      </w:r>
      <w:r w:rsidRPr="009A4537">
        <w:rPr>
          <w:color w:val="222222"/>
          <w:lang w:val="sv-SE"/>
        </w:rPr>
        <w:t>individer randomiserades till oralt risedronat 35</w:t>
      </w:r>
      <w:r w:rsidR="00320409" w:rsidRPr="009A4537">
        <w:rPr>
          <w:color w:val="222222"/>
          <w:lang w:val="sv-SE"/>
        </w:rPr>
        <w:t> </w:t>
      </w:r>
      <w:r w:rsidRPr="009A4537">
        <w:rPr>
          <w:color w:val="222222"/>
          <w:lang w:val="sv-SE"/>
        </w:rPr>
        <w:t xml:space="preserve">mg/vecka. Vid </w:t>
      </w:r>
      <w:r w:rsidR="008454EF" w:rsidRPr="009A4537">
        <w:rPr>
          <w:color w:val="222222"/>
          <w:lang w:val="sv-SE"/>
        </w:rPr>
        <w:t>prövningens</w:t>
      </w:r>
      <w:r w:rsidRPr="009A4537">
        <w:rPr>
          <w:color w:val="222222"/>
          <w:lang w:val="sv-SE"/>
        </w:rPr>
        <w:t xml:space="preserve"> start var kvinnornas medelålder 72,1</w:t>
      </w:r>
      <w:r w:rsidR="00320409" w:rsidRPr="009A4537">
        <w:rPr>
          <w:color w:val="222222"/>
          <w:lang w:val="sv-SE"/>
        </w:rPr>
        <w:t> </w:t>
      </w:r>
      <w:r w:rsidRPr="009A4537">
        <w:rPr>
          <w:color w:val="222222"/>
          <w:lang w:val="sv-SE"/>
        </w:rPr>
        <w:t xml:space="preserve">år och </w:t>
      </w:r>
      <w:r w:rsidR="00680A00" w:rsidRPr="009A4537">
        <w:rPr>
          <w:color w:val="222222"/>
          <w:lang w:val="sv-SE"/>
        </w:rPr>
        <w:t xml:space="preserve">de </w:t>
      </w:r>
      <w:r w:rsidRPr="009A4537">
        <w:rPr>
          <w:color w:val="222222"/>
          <w:lang w:val="sv-SE"/>
        </w:rPr>
        <w:t>hade i median 2</w:t>
      </w:r>
      <w:r w:rsidR="00320409" w:rsidRPr="009A4537">
        <w:rPr>
          <w:color w:val="222222"/>
          <w:lang w:val="sv-SE"/>
        </w:rPr>
        <w:t> </w:t>
      </w:r>
      <w:r w:rsidRPr="009A4537">
        <w:rPr>
          <w:color w:val="222222"/>
          <w:lang w:val="sv-SE"/>
        </w:rPr>
        <w:t xml:space="preserve">tidigare </w:t>
      </w:r>
      <w:r w:rsidR="00680A00" w:rsidRPr="009A4537">
        <w:rPr>
          <w:color w:val="222222"/>
          <w:lang w:val="sv-SE"/>
        </w:rPr>
        <w:t>kot</w:t>
      </w:r>
      <w:r w:rsidRPr="009A4537">
        <w:rPr>
          <w:color w:val="222222"/>
          <w:lang w:val="sv-SE"/>
        </w:rPr>
        <w:t>frakturer. 57,9</w:t>
      </w:r>
      <w:r w:rsidR="00320409" w:rsidRPr="009A4537">
        <w:rPr>
          <w:color w:val="222222"/>
          <w:lang w:val="sv-SE"/>
        </w:rPr>
        <w:t> </w:t>
      </w:r>
      <w:r w:rsidRPr="009A4537">
        <w:rPr>
          <w:color w:val="222222"/>
          <w:lang w:val="sv-SE"/>
        </w:rPr>
        <w:t>% av patienterna hade tidigare fått bifosfonatbehandling och 18,8</w:t>
      </w:r>
      <w:r w:rsidR="00320409" w:rsidRPr="009A4537">
        <w:rPr>
          <w:color w:val="222222"/>
          <w:lang w:val="sv-SE"/>
        </w:rPr>
        <w:t> </w:t>
      </w:r>
      <w:r w:rsidRPr="009A4537">
        <w:rPr>
          <w:color w:val="222222"/>
          <w:lang w:val="sv-SE"/>
        </w:rPr>
        <w:t xml:space="preserve">% tog samtidigt glukokortikoider under </w:t>
      </w:r>
      <w:r w:rsidR="008454EF" w:rsidRPr="009A4537">
        <w:rPr>
          <w:color w:val="222222"/>
          <w:lang w:val="sv-SE"/>
        </w:rPr>
        <w:t>prövningen</w:t>
      </w:r>
      <w:r w:rsidRPr="009A4537">
        <w:rPr>
          <w:color w:val="222222"/>
          <w:lang w:val="sv-SE"/>
        </w:rPr>
        <w:t>.1</w:t>
      </w:r>
      <w:r w:rsidR="00320409" w:rsidRPr="009A4537">
        <w:rPr>
          <w:color w:val="222222"/>
          <w:lang w:val="sv-SE"/>
        </w:rPr>
        <w:t> </w:t>
      </w:r>
      <w:r w:rsidRPr="009A4537">
        <w:rPr>
          <w:color w:val="222222"/>
          <w:lang w:val="sv-SE"/>
        </w:rPr>
        <w:t>013 (74,5</w:t>
      </w:r>
      <w:r w:rsidR="00320409" w:rsidRPr="009A4537">
        <w:rPr>
          <w:color w:val="222222"/>
          <w:lang w:val="sv-SE"/>
        </w:rPr>
        <w:t> </w:t>
      </w:r>
      <w:r w:rsidRPr="009A4537">
        <w:rPr>
          <w:color w:val="222222"/>
          <w:lang w:val="sv-SE"/>
        </w:rPr>
        <w:t>%) av patienterna fullföljde de 24</w:t>
      </w:r>
      <w:r w:rsidR="00320409" w:rsidRPr="009A4537">
        <w:rPr>
          <w:color w:val="222222"/>
          <w:lang w:val="sv-SE"/>
        </w:rPr>
        <w:t> </w:t>
      </w:r>
      <w:r w:rsidRPr="009A4537">
        <w:rPr>
          <w:color w:val="222222"/>
          <w:lang w:val="sv-SE"/>
        </w:rPr>
        <w:t>mån</w:t>
      </w:r>
      <w:r w:rsidR="00320409" w:rsidRPr="009A4537">
        <w:rPr>
          <w:color w:val="222222"/>
          <w:lang w:val="sv-SE"/>
        </w:rPr>
        <w:t>a</w:t>
      </w:r>
      <w:r w:rsidRPr="009A4537">
        <w:rPr>
          <w:color w:val="222222"/>
          <w:lang w:val="sv-SE"/>
        </w:rPr>
        <w:t>derna. Den kumulativa medel</w:t>
      </w:r>
      <w:r w:rsidR="00D212DE" w:rsidRPr="009A4537">
        <w:rPr>
          <w:color w:val="222222"/>
          <w:lang w:val="sv-SE"/>
        </w:rPr>
        <w:t>dosen</w:t>
      </w:r>
      <w:r w:rsidRPr="009A4537">
        <w:rPr>
          <w:color w:val="222222"/>
          <w:lang w:val="sv-SE"/>
        </w:rPr>
        <w:t xml:space="preserve"> (median</w:t>
      </w:r>
      <w:r w:rsidR="00D212DE" w:rsidRPr="009A4537">
        <w:rPr>
          <w:color w:val="222222"/>
          <w:lang w:val="sv-SE"/>
        </w:rPr>
        <w:t>dosen</w:t>
      </w:r>
      <w:r w:rsidRPr="009A4537">
        <w:rPr>
          <w:color w:val="222222"/>
          <w:lang w:val="sv-SE"/>
        </w:rPr>
        <w:t>) av glukokortikoid var 474,3 (66,2)</w:t>
      </w:r>
      <w:r w:rsidR="00320409" w:rsidRPr="009A4537">
        <w:rPr>
          <w:color w:val="222222"/>
          <w:lang w:val="sv-SE"/>
        </w:rPr>
        <w:t> </w:t>
      </w:r>
      <w:r w:rsidRPr="009A4537">
        <w:rPr>
          <w:color w:val="222222"/>
          <w:lang w:val="sv-SE"/>
        </w:rPr>
        <w:t>mg i teriparatidarmen och 898,0 (100,0)</w:t>
      </w:r>
      <w:r w:rsidR="00320409" w:rsidRPr="009A4537">
        <w:rPr>
          <w:color w:val="222222"/>
          <w:lang w:val="sv-SE"/>
        </w:rPr>
        <w:t> </w:t>
      </w:r>
      <w:r w:rsidRPr="009A4537">
        <w:rPr>
          <w:color w:val="222222"/>
          <w:lang w:val="sv-SE"/>
        </w:rPr>
        <w:t>mg i risedronatarmen. Medel</w:t>
      </w:r>
      <w:r w:rsidR="00D212DE" w:rsidRPr="009A4537">
        <w:rPr>
          <w:color w:val="222222"/>
          <w:lang w:val="sv-SE"/>
        </w:rPr>
        <w:t>intag</w:t>
      </w:r>
      <w:r w:rsidRPr="009A4537">
        <w:rPr>
          <w:color w:val="222222"/>
          <w:lang w:val="sv-SE"/>
        </w:rPr>
        <w:t xml:space="preserve"> (median</w:t>
      </w:r>
      <w:r w:rsidR="00D212DE" w:rsidRPr="009A4537">
        <w:rPr>
          <w:color w:val="222222"/>
          <w:lang w:val="sv-SE"/>
        </w:rPr>
        <w:t>intag</w:t>
      </w:r>
      <w:r w:rsidRPr="009A4537">
        <w:rPr>
          <w:color w:val="222222"/>
          <w:lang w:val="sv-SE"/>
        </w:rPr>
        <w:t>) av vitamin</w:t>
      </w:r>
      <w:r w:rsidR="00320409" w:rsidRPr="009A4537">
        <w:rPr>
          <w:color w:val="222222"/>
          <w:lang w:val="sv-SE"/>
        </w:rPr>
        <w:t> </w:t>
      </w:r>
      <w:r w:rsidRPr="009A4537">
        <w:rPr>
          <w:color w:val="222222"/>
          <w:lang w:val="sv-SE"/>
        </w:rPr>
        <w:t>D i teriparatidarmen var 1</w:t>
      </w:r>
      <w:r w:rsidR="00320409" w:rsidRPr="009A4537">
        <w:rPr>
          <w:color w:val="222222"/>
          <w:lang w:val="sv-SE"/>
        </w:rPr>
        <w:t> </w:t>
      </w:r>
      <w:r w:rsidRPr="009A4537">
        <w:rPr>
          <w:color w:val="222222"/>
          <w:lang w:val="sv-SE"/>
        </w:rPr>
        <w:t>433</w:t>
      </w:r>
      <w:r w:rsidR="00320409" w:rsidRPr="009A4537">
        <w:rPr>
          <w:color w:val="222222"/>
          <w:lang w:val="sv-SE"/>
        </w:rPr>
        <w:t> </w:t>
      </w:r>
      <w:r w:rsidRPr="009A4537">
        <w:rPr>
          <w:color w:val="222222"/>
          <w:lang w:val="sv-SE"/>
        </w:rPr>
        <w:t>IE/dag (1</w:t>
      </w:r>
      <w:r w:rsidR="00320409" w:rsidRPr="009A4537">
        <w:rPr>
          <w:color w:val="222222"/>
          <w:lang w:val="sv-SE"/>
        </w:rPr>
        <w:t> </w:t>
      </w:r>
      <w:r w:rsidRPr="009A4537">
        <w:rPr>
          <w:color w:val="222222"/>
          <w:lang w:val="sv-SE"/>
        </w:rPr>
        <w:t>400</w:t>
      </w:r>
      <w:r w:rsidR="00320409" w:rsidRPr="009A4537">
        <w:rPr>
          <w:color w:val="222222"/>
          <w:lang w:val="sv-SE"/>
        </w:rPr>
        <w:t> </w:t>
      </w:r>
      <w:r w:rsidRPr="009A4537">
        <w:rPr>
          <w:color w:val="222222"/>
          <w:lang w:val="sv-SE"/>
        </w:rPr>
        <w:t>IE/dag) och 1</w:t>
      </w:r>
      <w:r w:rsidR="00320409" w:rsidRPr="009A4537">
        <w:rPr>
          <w:color w:val="222222"/>
          <w:lang w:val="sv-SE"/>
        </w:rPr>
        <w:t> </w:t>
      </w:r>
      <w:r w:rsidRPr="009A4537">
        <w:rPr>
          <w:color w:val="222222"/>
          <w:lang w:val="sv-SE"/>
        </w:rPr>
        <w:t>191</w:t>
      </w:r>
      <w:r w:rsidR="00320409" w:rsidRPr="009A4537">
        <w:rPr>
          <w:color w:val="222222"/>
          <w:lang w:val="sv-SE"/>
        </w:rPr>
        <w:t> </w:t>
      </w:r>
      <w:r w:rsidRPr="009A4537">
        <w:rPr>
          <w:color w:val="222222"/>
          <w:lang w:val="sv-SE"/>
        </w:rPr>
        <w:t>IE/dag (900</w:t>
      </w:r>
      <w:r w:rsidR="00FE4E09" w:rsidRPr="009A4537">
        <w:rPr>
          <w:color w:val="222222"/>
          <w:lang w:val="sv-SE"/>
        </w:rPr>
        <w:t> </w:t>
      </w:r>
      <w:r w:rsidRPr="009A4537">
        <w:rPr>
          <w:color w:val="222222"/>
          <w:lang w:val="sv-SE"/>
        </w:rPr>
        <w:t xml:space="preserve">IE/dag) i risedronatarmen. För de individer som fick ryggröntgen vid studiens början och slut var incidensen av nya </w:t>
      </w:r>
      <w:r w:rsidR="00680A00" w:rsidRPr="009A4537">
        <w:rPr>
          <w:color w:val="222222"/>
          <w:lang w:val="sv-SE"/>
        </w:rPr>
        <w:t>kot</w:t>
      </w:r>
      <w:r w:rsidRPr="009A4537">
        <w:rPr>
          <w:color w:val="222222"/>
          <w:lang w:val="sv-SE"/>
        </w:rPr>
        <w:t xml:space="preserve">frakturer </w:t>
      </w:r>
      <w:r w:rsidR="00D3396D" w:rsidRPr="009A4537">
        <w:rPr>
          <w:color w:val="222222"/>
          <w:lang w:val="sv-SE"/>
        </w:rPr>
        <w:t>28/516 (5,4</w:t>
      </w:r>
      <w:r w:rsidR="00FE4E09" w:rsidRPr="009A4537">
        <w:rPr>
          <w:color w:val="222222"/>
          <w:lang w:val="sv-SE"/>
        </w:rPr>
        <w:t> </w:t>
      </w:r>
      <w:r w:rsidR="00D3396D" w:rsidRPr="009A4537">
        <w:rPr>
          <w:color w:val="222222"/>
          <w:lang w:val="sv-SE"/>
        </w:rPr>
        <w:t xml:space="preserve">%) hos </w:t>
      </w:r>
      <w:r w:rsidR="00FE4E09" w:rsidRPr="009A4537">
        <w:rPr>
          <w:color w:val="222222"/>
          <w:lang w:val="sv-SE"/>
        </w:rPr>
        <w:t>teriparatid</w:t>
      </w:r>
      <w:r w:rsidR="00D3396D" w:rsidRPr="009A4537">
        <w:rPr>
          <w:color w:val="222222"/>
          <w:lang w:val="sv-SE"/>
        </w:rPr>
        <w:t>behandlade patienter och 64/533 (12,0</w:t>
      </w:r>
      <w:r w:rsidR="00FE4E09" w:rsidRPr="009A4537">
        <w:rPr>
          <w:color w:val="222222"/>
          <w:lang w:val="sv-SE"/>
        </w:rPr>
        <w:t> </w:t>
      </w:r>
      <w:r w:rsidR="00D3396D" w:rsidRPr="009A4537">
        <w:rPr>
          <w:color w:val="222222"/>
          <w:lang w:val="sv-SE"/>
        </w:rPr>
        <w:t>%) hos risedronatbehandlade patienter, relativ risk (95</w:t>
      </w:r>
      <w:r w:rsidR="00B91385" w:rsidRPr="009A4537">
        <w:rPr>
          <w:color w:val="222222"/>
          <w:lang w:val="sv-SE"/>
        </w:rPr>
        <w:t xml:space="preserve"> </w:t>
      </w:r>
      <w:r w:rsidR="00D3396D" w:rsidRPr="009A4537">
        <w:rPr>
          <w:color w:val="222222"/>
          <w:lang w:val="sv-SE"/>
        </w:rPr>
        <w:t>% CI) = 0</w:t>
      </w:r>
      <w:r w:rsidR="00C9377E" w:rsidRPr="009A4537">
        <w:rPr>
          <w:color w:val="222222"/>
          <w:lang w:val="sv-SE"/>
        </w:rPr>
        <w:t>,</w:t>
      </w:r>
      <w:r w:rsidR="00D3396D" w:rsidRPr="009A4537">
        <w:rPr>
          <w:color w:val="222222"/>
          <w:lang w:val="sv-SE"/>
        </w:rPr>
        <w:t>44 (0</w:t>
      </w:r>
      <w:r w:rsidR="00C9377E" w:rsidRPr="009A4537">
        <w:rPr>
          <w:color w:val="222222"/>
          <w:lang w:val="sv-SE"/>
        </w:rPr>
        <w:t>,</w:t>
      </w:r>
      <w:r w:rsidR="00D3396D" w:rsidRPr="009A4537">
        <w:rPr>
          <w:color w:val="222222"/>
          <w:lang w:val="sv-SE"/>
        </w:rPr>
        <w:t>29</w:t>
      </w:r>
      <w:r w:rsidR="008454EF" w:rsidRPr="009A4537">
        <w:rPr>
          <w:color w:val="222222"/>
          <w:lang w:val="sv-SE"/>
        </w:rPr>
        <w:noBreakHyphen/>
      </w:r>
      <w:r w:rsidR="00D3396D" w:rsidRPr="009A4537">
        <w:rPr>
          <w:color w:val="222222"/>
          <w:lang w:val="sv-SE"/>
        </w:rPr>
        <w:t>0</w:t>
      </w:r>
      <w:r w:rsidR="00C9377E" w:rsidRPr="009A4537">
        <w:rPr>
          <w:color w:val="222222"/>
          <w:lang w:val="sv-SE"/>
        </w:rPr>
        <w:t>,</w:t>
      </w:r>
      <w:r w:rsidR="00D3396D" w:rsidRPr="009A4537">
        <w:rPr>
          <w:color w:val="222222"/>
          <w:lang w:val="sv-SE"/>
        </w:rPr>
        <w:t>68), P&lt;0</w:t>
      </w:r>
      <w:r w:rsidR="00C9377E" w:rsidRPr="009A4537">
        <w:rPr>
          <w:color w:val="222222"/>
          <w:lang w:val="sv-SE"/>
        </w:rPr>
        <w:t>,</w:t>
      </w:r>
      <w:r w:rsidR="00D3396D" w:rsidRPr="009A4537">
        <w:rPr>
          <w:color w:val="222222"/>
          <w:lang w:val="sv-SE"/>
        </w:rPr>
        <w:t>0001. Den kumulativa incidensen av poolade kliniska frakturer (kliniska vertebrala och icke</w:t>
      </w:r>
      <w:r w:rsidR="00FE4E09" w:rsidRPr="009A4537">
        <w:rPr>
          <w:color w:val="222222"/>
          <w:lang w:val="sv-SE"/>
        </w:rPr>
        <w:noBreakHyphen/>
      </w:r>
      <w:r w:rsidR="00D3396D" w:rsidRPr="009A4537">
        <w:rPr>
          <w:color w:val="222222"/>
          <w:lang w:val="sv-SE"/>
        </w:rPr>
        <w:t>vertebrala frakturer) var 4,8</w:t>
      </w:r>
      <w:r w:rsidR="00FE4E09" w:rsidRPr="009A4537">
        <w:rPr>
          <w:color w:val="222222"/>
          <w:lang w:val="sv-SE"/>
        </w:rPr>
        <w:t> </w:t>
      </w:r>
      <w:r w:rsidR="00D3396D" w:rsidRPr="009A4537">
        <w:rPr>
          <w:color w:val="222222"/>
          <w:lang w:val="sv-SE"/>
        </w:rPr>
        <w:t xml:space="preserve">% hos </w:t>
      </w:r>
      <w:r w:rsidR="00FE4E09" w:rsidRPr="009A4537">
        <w:rPr>
          <w:color w:val="222222"/>
          <w:lang w:val="sv-SE"/>
        </w:rPr>
        <w:t>teriparatid</w:t>
      </w:r>
      <w:r w:rsidR="00D3396D" w:rsidRPr="009A4537">
        <w:rPr>
          <w:color w:val="222222"/>
          <w:lang w:val="sv-SE"/>
        </w:rPr>
        <w:t>b</w:t>
      </w:r>
      <w:r w:rsidR="00680A00" w:rsidRPr="009A4537">
        <w:rPr>
          <w:color w:val="222222"/>
          <w:lang w:val="sv-SE"/>
        </w:rPr>
        <w:t>ehandlade patienter och 9,8</w:t>
      </w:r>
      <w:r w:rsidR="00FE4E09" w:rsidRPr="009A4537">
        <w:rPr>
          <w:color w:val="222222"/>
          <w:lang w:val="sv-SE"/>
        </w:rPr>
        <w:t> </w:t>
      </w:r>
      <w:r w:rsidR="00680A00" w:rsidRPr="009A4537">
        <w:rPr>
          <w:color w:val="222222"/>
          <w:lang w:val="sv-SE"/>
        </w:rPr>
        <w:t>% hos risedronatbehandlade patienter, hazard ratio (95</w:t>
      </w:r>
      <w:r w:rsidR="00FE4E09" w:rsidRPr="009A4537">
        <w:rPr>
          <w:color w:val="222222"/>
          <w:lang w:val="sv-SE"/>
        </w:rPr>
        <w:t> </w:t>
      </w:r>
      <w:r w:rsidR="00680A00" w:rsidRPr="009A4537">
        <w:rPr>
          <w:color w:val="222222"/>
          <w:lang w:val="sv-SE"/>
        </w:rPr>
        <w:t>% CI) = 0</w:t>
      </w:r>
      <w:r w:rsidR="00C9377E" w:rsidRPr="009A4537">
        <w:rPr>
          <w:color w:val="222222"/>
          <w:lang w:val="sv-SE"/>
        </w:rPr>
        <w:t>,</w:t>
      </w:r>
      <w:r w:rsidR="00680A00" w:rsidRPr="009A4537">
        <w:rPr>
          <w:color w:val="222222"/>
          <w:lang w:val="sv-SE"/>
        </w:rPr>
        <w:t>48 (0</w:t>
      </w:r>
      <w:r w:rsidR="00C9377E" w:rsidRPr="009A4537">
        <w:rPr>
          <w:color w:val="222222"/>
          <w:lang w:val="sv-SE"/>
        </w:rPr>
        <w:t>,</w:t>
      </w:r>
      <w:r w:rsidR="00680A00" w:rsidRPr="009A4537">
        <w:rPr>
          <w:color w:val="222222"/>
          <w:lang w:val="sv-SE"/>
        </w:rPr>
        <w:t>32</w:t>
      </w:r>
      <w:r w:rsidR="00FE4E09" w:rsidRPr="009A4537">
        <w:rPr>
          <w:color w:val="222222"/>
          <w:lang w:val="sv-SE"/>
        </w:rPr>
        <w:noBreakHyphen/>
      </w:r>
      <w:r w:rsidR="00680A00" w:rsidRPr="009A4537">
        <w:rPr>
          <w:color w:val="222222"/>
          <w:lang w:val="sv-SE"/>
        </w:rPr>
        <w:t>0</w:t>
      </w:r>
      <w:r w:rsidR="00C9377E" w:rsidRPr="009A4537">
        <w:rPr>
          <w:color w:val="222222"/>
          <w:lang w:val="sv-SE"/>
        </w:rPr>
        <w:t>,</w:t>
      </w:r>
      <w:r w:rsidR="00680A00" w:rsidRPr="009A4537">
        <w:rPr>
          <w:color w:val="222222"/>
          <w:lang w:val="sv-SE"/>
        </w:rPr>
        <w:t>74), P=0</w:t>
      </w:r>
      <w:r w:rsidR="00C9377E" w:rsidRPr="009A4537">
        <w:rPr>
          <w:color w:val="222222"/>
          <w:lang w:val="sv-SE"/>
        </w:rPr>
        <w:t>,</w:t>
      </w:r>
      <w:r w:rsidR="00680A00" w:rsidRPr="009A4537">
        <w:rPr>
          <w:color w:val="222222"/>
          <w:lang w:val="sv-SE"/>
        </w:rPr>
        <w:t>0009.</w:t>
      </w:r>
    </w:p>
    <w:p w14:paraId="22FDDB15" w14:textId="77777777" w:rsidR="003743B8" w:rsidRPr="009A4537" w:rsidRDefault="003743B8">
      <w:pPr>
        <w:pStyle w:val="BodyText"/>
        <w:rPr>
          <w:iCs/>
          <w:szCs w:val="22"/>
          <w:lang w:val="sv-SE"/>
        </w:rPr>
      </w:pPr>
    </w:p>
    <w:p w14:paraId="7FCA877F" w14:textId="77777777" w:rsidR="00FE4E09" w:rsidRPr="009A4537" w:rsidRDefault="00FD3E90">
      <w:pPr>
        <w:pStyle w:val="BodyText"/>
        <w:rPr>
          <w:i/>
          <w:iCs/>
          <w:szCs w:val="22"/>
          <w:lang w:val="sv-SE"/>
        </w:rPr>
      </w:pPr>
      <w:r w:rsidRPr="009A4537">
        <w:rPr>
          <w:i/>
          <w:iCs/>
          <w:szCs w:val="22"/>
          <w:lang w:val="sv-SE"/>
        </w:rPr>
        <w:t>Osteoporos hos män</w:t>
      </w:r>
    </w:p>
    <w:p w14:paraId="17BD0F4C" w14:textId="77777777" w:rsidR="00691A5F" w:rsidRPr="009A4537" w:rsidRDefault="00FD3E90" w:rsidP="00FB7CBC">
      <w:pPr>
        <w:pStyle w:val="BodyText"/>
        <w:tabs>
          <w:tab w:val="left" w:pos="8364"/>
        </w:tabs>
        <w:rPr>
          <w:iCs/>
          <w:szCs w:val="22"/>
          <w:lang w:val="sv-SE"/>
        </w:rPr>
      </w:pPr>
      <w:r w:rsidRPr="009A4537">
        <w:rPr>
          <w:iCs/>
          <w:szCs w:val="22"/>
          <w:lang w:val="sv-SE"/>
        </w:rPr>
        <w:t>437</w:t>
      </w:r>
      <w:r w:rsidR="00EF2353" w:rsidRPr="009A4537">
        <w:rPr>
          <w:iCs/>
          <w:szCs w:val="22"/>
          <w:lang w:val="sv-SE"/>
        </w:rPr>
        <w:t> patienter</w:t>
      </w:r>
      <w:r w:rsidRPr="009A4537">
        <w:rPr>
          <w:iCs/>
          <w:szCs w:val="22"/>
          <w:lang w:val="sv-SE"/>
        </w:rPr>
        <w:t> (medelålder 58,7 år) har inkluderats i en klinisk prövning på män med hypogonadal (definierat som lågt morgontestosteron eller förhöjt FSH eller LH) eller idiopatisk osteoporos.</w:t>
      </w:r>
      <w:r w:rsidR="00F73DE8" w:rsidRPr="009A4537">
        <w:rPr>
          <w:iCs/>
          <w:szCs w:val="22"/>
          <w:lang w:val="sv-SE"/>
        </w:rPr>
        <w:t xml:space="preserve"> </w:t>
      </w:r>
      <w:r w:rsidRPr="009A4537">
        <w:rPr>
          <w:iCs/>
          <w:szCs w:val="22"/>
          <w:lang w:val="sv-SE"/>
        </w:rPr>
        <w:t>Vid studiestart var medelvärdet på bentätheten (BMD) för ryggrad och lårbenshals t</w:t>
      </w:r>
      <w:r w:rsidR="00FE4E09" w:rsidRPr="009A4537">
        <w:rPr>
          <w:iCs/>
          <w:szCs w:val="22"/>
          <w:lang w:val="sv-SE"/>
        </w:rPr>
        <w:noBreakHyphen/>
      </w:r>
      <w:r w:rsidRPr="009A4537">
        <w:rPr>
          <w:iCs/>
          <w:szCs w:val="22"/>
          <w:lang w:val="sv-SE"/>
        </w:rPr>
        <w:t>score -2,2 respektive t</w:t>
      </w:r>
      <w:r w:rsidR="008454EF" w:rsidRPr="009A4537">
        <w:rPr>
          <w:iCs/>
          <w:szCs w:val="22"/>
          <w:lang w:val="sv-SE"/>
        </w:rPr>
        <w:noBreakHyphen/>
      </w:r>
      <w:r w:rsidRPr="009A4537">
        <w:rPr>
          <w:iCs/>
          <w:szCs w:val="22"/>
          <w:lang w:val="sv-SE"/>
        </w:rPr>
        <w:t>score -2, 1. Vid studiens början hade 35 % av patienterna vertebrala frakturer och 59 % hade icke</w:t>
      </w:r>
      <w:r w:rsidR="00FE4E09" w:rsidRPr="009A4537">
        <w:rPr>
          <w:iCs/>
          <w:szCs w:val="22"/>
          <w:lang w:val="sv-SE"/>
        </w:rPr>
        <w:noBreakHyphen/>
      </w:r>
      <w:r w:rsidRPr="009A4537">
        <w:rPr>
          <w:iCs/>
          <w:szCs w:val="22"/>
          <w:lang w:val="sv-SE"/>
        </w:rPr>
        <w:t>vertebrala frakturer.</w:t>
      </w:r>
    </w:p>
    <w:p w14:paraId="4B008956" w14:textId="77777777" w:rsidR="00691A5F" w:rsidRPr="009A4537" w:rsidRDefault="00691A5F">
      <w:pPr>
        <w:pStyle w:val="BodyText"/>
        <w:rPr>
          <w:iCs/>
          <w:szCs w:val="22"/>
          <w:lang w:val="sv-SE"/>
        </w:rPr>
      </w:pPr>
    </w:p>
    <w:p w14:paraId="6EA180F4" w14:textId="77777777" w:rsidR="00FD3E90" w:rsidRPr="009A4537" w:rsidRDefault="00FD3E90">
      <w:pPr>
        <w:pStyle w:val="BodyText"/>
        <w:rPr>
          <w:iCs/>
          <w:szCs w:val="22"/>
          <w:lang w:val="sv-SE"/>
        </w:rPr>
      </w:pPr>
      <w:r w:rsidRPr="009A4537">
        <w:rPr>
          <w:iCs/>
          <w:szCs w:val="22"/>
          <w:lang w:val="sv-SE"/>
        </w:rPr>
        <w:t>Alla patienter erbjöds 1</w:t>
      </w:r>
      <w:r w:rsidR="00FE4E09" w:rsidRPr="009A4537">
        <w:rPr>
          <w:iCs/>
          <w:szCs w:val="22"/>
          <w:lang w:val="sv-SE"/>
        </w:rPr>
        <w:t> </w:t>
      </w:r>
      <w:r w:rsidRPr="009A4537">
        <w:rPr>
          <w:iCs/>
          <w:szCs w:val="22"/>
          <w:lang w:val="sv-SE"/>
        </w:rPr>
        <w:t>000</w:t>
      </w:r>
      <w:r w:rsidR="00855A33" w:rsidRPr="009A4537">
        <w:rPr>
          <w:iCs/>
          <w:szCs w:val="22"/>
          <w:lang w:val="sv-SE"/>
        </w:rPr>
        <w:t> mg</w:t>
      </w:r>
      <w:r w:rsidRPr="009A4537">
        <w:rPr>
          <w:iCs/>
          <w:szCs w:val="22"/>
          <w:lang w:val="sv-SE"/>
        </w:rPr>
        <w:t xml:space="preserve"> kalcium per dag och minst 400</w:t>
      </w:r>
      <w:r w:rsidR="00FE4E09" w:rsidRPr="009A4537">
        <w:rPr>
          <w:iCs/>
          <w:szCs w:val="22"/>
          <w:lang w:val="sv-SE"/>
        </w:rPr>
        <w:t> </w:t>
      </w:r>
      <w:r w:rsidRPr="009A4537">
        <w:rPr>
          <w:iCs/>
          <w:szCs w:val="22"/>
          <w:lang w:val="sv-SE"/>
        </w:rPr>
        <w:t>IE D</w:t>
      </w:r>
      <w:r w:rsidR="00FE4E09" w:rsidRPr="009A4537">
        <w:rPr>
          <w:iCs/>
          <w:szCs w:val="22"/>
          <w:lang w:val="sv-SE"/>
        </w:rPr>
        <w:noBreakHyphen/>
      </w:r>
      <w:r w:rsidRPr="009A4537">
        <w:rPr>
          <w:iCs/>
          <w:szCs w:val="22"/>
          <w:lang w:val="sv-SE"/>
        </w:rPr>
        <w:t>vitamin per dag. BMD i ländkotpelaren hade ökat signifikant vid 3 månader. Efter en behandlingstid på 12</w:t>
      </w:r>
      <w:r w:rsidR="00FE4E09" w:rsidRPr="009A4537">
        <w:rPr>
          <w:iCs/>
          <w:szCs w:val="22"/>
          <w:lang w:val="sv-SE"/>
        </w:rPr>
        <w:t> </w:t>
      </w:r>
      <w:r w:rsidRPr="009A4537">
        <w:rPr>
          <w:iCs/>
          <w:szCs w:val="22"/>
          <w:lang w:val="sv-SE"/>
        </w:rPr>
        <w:t>månader hade BMD i ländkotpelaren och höften totalt ökat med 5 % respektive 1 % jämfört med placebo. Några signifikanta effekter på frakturfrekvensen kunde dock inte visas.</w:t>
      </w:r>
    </w:p>
    <w:p w14:paraId="44DD133E" w14:textId="77777777" w:rsidR="00FD3E90" w:rsidRPr="009A4537" w:rsidRDefault="00FD3E90">
      <w:pPr>
        <w:pStyle w:val="BodyText"/>
        <w:rPr>
          <w:iCs/>
          <w:szCs w:val="22"/>
          <w:lang w:val="sv-SE"/>
        </w:rPr>
      </w:pPr>
    </w:p>
    <w:p w14:paraId="7037FC13" w14:textId="77777777" w:rsidR="009E630B" w:rsidRPr="009A4537" w:rsidRDefault="009E630B" w:rsidP="009E630B">
      <w:pPr>
        <w:pStyle w:val="BodyText"/>
        <w:rPr>
          <w:i/>
          <w:iCs/>
          <w:szCs w:val="22"/>
          <w:lang w:val="sv-SE"/>
        </w:rPr>
      </w:pPr>
      <w:r w:rsidRPr="009A4537">
        <w:rPr>
          <w:i/>
          <w:iCs/>
          <w:szCs w:val="22"/>
          <w:lang w:val="sv-SE"/>
        </w:rPr>
        <w:lastRenderedPageBreak/>
        <w:t>Glukokortikoidinducerad osteoporos</w:t>
      </w:r>
    </w:p>
    <w:p w14:paraId="2ECE5AD7" w14:textId="77777777" w:rsidR="00411F88" w:rsidRPr="009A4537" w:rsidRDefault="00FE4E09" w:rsidP="00411F88">
      <w:pPr>
        <w:pStyle w:val="BodyText"/>
        <w:rPr>
          <w:iCs/>
          <w:szCs w:val="22"/>
          <w:lang w:val="sv-SE"/>
        </w:rPr>
      </w:pPr>
      <w:r w:rsidRPr="009A4537">
        <w:rPr>
          <w:iCs/>
          <w:szCs w:val="22"/>
          <w:lang w:val="sv-SE"/>
        </w:rPr>
        <w:t>Teriparatid</w:t>
      </w:r>
      <w:r w:rsidR="00411F88" w:rsidRPr="009A4537">
        <w:rPr>
          <w:iCs/>
          <w:szCs w:val="22"/>
          <w:lang w:val="sv-SE"/>
        </w:rPr>
        <w:t>s effekt på män och kvinnor (</w:t>
      </w:r>
      <w:r w:rsidR="00270F31" w:rsidRPr="009A4537">
        <w:rPr>
          <w:iCs/>
          <w:szCs w:val="22"/>
          <w:lang w:val="sv-SE"/>
        </w:rPr>
        <w:t>N</w:t>
      </w:r>
      <w:r w:rsidR="00411F88" w:rsidRPr="009A4537">
        <w:rPr>
          <w:iCs/>
          <w:szCs w:val="22"/>
          <w:lang w:val="sv-SE"/>
        </w:rPr>
        <w:t>=428) som fick kronisk systemisk glukokortikoidbehandling (motsvarande minst 5 mg prednison i minst 3</w:t>
      </w:r>
      <w:r w:rsidRPr="009A4537">
        <w:rPr>
          <w:iCs/>
          <w:szCs w:val="22"/>
          <w:lang w:val="sv-SE"/>
        </w:rPr>
        <w:t> </w:t>
      </w:r>
      <w:r w:rsidR="00411F88" w:rsidRPr="009A4537">
        <w:rPr>
          <w:iCs/>
          <w:szCs w:val="22"/>
          <w:lang w:val="sv-SE"/>
        </w:rPr>
        <w:t xml:space="preserve">månader) visades </w:t>
      </w:r>
      <w:r w:rsidR="00D024E1" w:rsidRPr="009A4537">
        <w:rPr>
          <w:iCs/>
          <w:szCs w:val="22"/>
          <w:lang w:val="sv-SE"/>
        </w:rPr>
        <w:t>under de</w:t>
      </w:r>
      <w:r w:rsidR="0046635F" w:rsidRPr="009A4537">
        <w:rPr>
          <w:iCs/>
          <w:szCs w:val="22"/>
          <w:lang w:val="sv-SE"/>
        </w:rPr>
        <w:t>n</w:t>
      </w:r>
      <w:r w:rsidR="00D024E1" w:rsidRPr="009A4537">
        <w:rPr>
          <w:iCs/>
          <w:szCs w:val="22"/>
          <w:lang w:val="sv-SE"/>
        </w:rPr>
        <w:t xml:space="preserve"> första</w:t>
      </w:r>
      <w:r w:rsidR="0046635F" w:rsidRPr="009A4537">
        <w:rPr>
          <w:iCs/>
          <w:szCs w:val="22"/>
          <w:lang w:val="sv-SE"/>
        </w:rPr>
        <w:t xml:space="preserve"> fasen på</w:t>
      </w:r>
      <w:r w:rsidR="00411F88" w:rsidRPr="009A4537">
        <w:rPr>
          <w:iCs/>
          <w:szCs w:val="22"/>
          <w:lang w:val="sv-SE"/>
        </w:rPr>
        <w:t xml:space="preserve"> 18</w:t>
      </w:r>
      <w:r w:rsidRPr="009A4537">
        <w:rPr>
          <w:iCs/>
          <w:szCs w:val="22"/>
          <w:lang w:val="sv-SE"/>
        </w:rPr>
        <w:t> </w:t>
      </w:r>
      <w:r w:rsidR="00411F88" w:rsidRPr="009A4537">
        <w:rPr>
          <w:iCs/>
          <w:szCs w:val="22"/>
          <w:lang w:val="sv-SE"/>
        </w:rPr>
        <w:t>månader</w:t>
      </w:r>
      <w:r w:rsidR="00D024E1" w:rsidRPr="009A4537">
        <w:rPr>
          <w:iCs/>
          <w:szCs w:val="22"/>
          <w:lang w:val="sv-SE"/>
        </w:rPr>
        <w:t xml:space="preserve"> i en 36</w:t>
      </w:r>
      <w:r w:rsidRPr="009A4537">
        <w:rPr>
          <w:iCs/>
          <w:szCs w:val="22"/>
          <w:lang w:val="sv-SE"/>
        </w:rPr>
        <w:noBreakHyphen/>
      </w:r>
      <w:r w:rsidR="00D024E1" w:rsidRPr="009A4537">
        <w:rPr>
          <w:iCs/>
          <w:szCs w:val="22"/>
          <w:lang w:val="sv-SE"/>
        </w:rPr>
        <w:t>månaders</w:t>
      </w:r>
      <w:r w:rsidR="00411F88" w:rsidRPr="009A4537">
        <w:rPr>
          <w:iCs/>
          <w:szCs w:val="22"/>
          <w:lang w:val="sv-SE"/>
        </w:rPr>
        <w:t xml:space="preserve">, randomiserad, dubbelblind </w:t>
      </w:r>
      <w:r w:rsidRPr="009A4537">
        <w:rPr>
          <w:iCs/>
          <w:szCs w:val="22"/>
          <w:lang w:val="sv-SE"/>
        </w:rPr>
        <w:t>prövning</w:t>
      </w:r>
      <w:r w:rsidR="00411F88" w:rsidRPr="009A4537">
        <w:rPr>
          <w:iCs/>
          <w:szCs w:val="22"/>
          <w:lang w:val="sv-SE"/>
        </w:rPr>
        <w:t xml:space="preserve"> med alendronat 10 mg dagligen som aktiv kontroll. 28 % av patienterna hade minst en röntgenverifierad kotfraktur vid studiens början. Alla patienterna erbjöds 1</w:t>
      </w:r>
      <w:r w:rsidRPr="009A4537">
        <w:rPr>
          <w:iCs/>
          <w:szCs w:val="22"/>
          <w:lang w:val="sv-SE"/>
        </w:rPr>
        <w:t> </w:t>
      </w:r>
      <w:r w:rsidR="00411F88" w:rsidRPr="009A4537">
        <w:rPr>
          <w:iCs/>
          <w:szCs w:val="22"/>
          <w:lang w:val="sv-SE"/>
        </w:rPr>
        <w:t>000 mg kalcium och 800</w:t>
      </w:r>
      <w:r w:rsidR="00A02F71" w:rsidRPr="009A4537">
        <w:rPr>
          <w:iCs/>
          <w:szCs w:val="22"/>
          <w:lang w:val="sv-SE"/>
        </w:rPr>
        <w:t> </w:t>
      </w:r>
      <w:r w:rsidR="00411F88" w:rsidRPr="009A4537">
        <w:rPr>
          <w:iCs/>
          <w:szCs w:val="22"/>
          <w:lang w:val="sv-SE"/>
        </w:rPr>
        <w:t>IE D</w:t>
      </w:r>
      <w:r w:rsidR="00A02F71" w:rsidRPr="009A4537">
        <w:rPr>
          <w:iCs/>
          <w:szCs w:val="22"/>
          <w:lang w:val="sv-SE"/>
        </w:rPr>
        <w:noBreakHyphen/>
      </w:r>
      <w:r w:rsidR="00411F88" w:rsidRPr="009A4537">
        <w:rPr>
          <w:iCs/>
          <w:szCs w:val="22"/>
          <w:lang w:val="sv-SE"/>
        </w:rPr>
        <w:t>vitamin dagligen.</w:t>
      </w:r>
    </w:p>
    <w:p w14:paraId="3D7FC059" w14:textId="77777777" w:rsidR="00411F88" w:rsidRPr="009A4537" w:rsidRDefault="00411F88" w:rsidP="00411F88">
      <w:pPr>
        <w:pStyle w:val="BodyText"/>
        <w:rPr>
          <w:iCs/>
          <w:szCs w:val="22"/>
          <w:lang w:val="sv-SE"/>
        </w:rPr>
      </w:pPr>
    </w:p>
    <w:p w14:paraId="6902F2CB" w14:textId="77777777" w:rsidR="00411F88" w:rsidRPr="009A4537" w:rsidRDefault="00411F88" w:rsidP="00411F88">
      <w:pPr>
        <w:pStyle w:val="BodyText"/>
        <w:rPr>
          <w:iCs/>
          <w:szCs w:val="22"/>
          <w:lang w:val="sv-SE"/>
        </w:rPr>
      </w:pPr>
      <w:r w:rsidRPr="009A4537">
        <w:rPr>
          <w:iCs/>
          <w:szCs w:val="22"/>
          <w:lang w:val="sv-SE"/>
        </w:rPr>
        <w:t xml:space="preserve">Denna </w:t>
      </w:r>
      <w:r w:rsidR="00A02F71" w:rsidRPr="009A4537">
        <w:rPr>
          <w:iCs/>
          <w:szCs w:val="22"/>
          <w:lang w:val="sv-SE"/>
        </w:rPr>
        <w:t>prövning</w:t>
      </w:r>
      <w:r w:rsidRPr="009A4537">
        <w:rPr>
          <w:iCs/>
          <w:szCs w:val="22"/>
          <w:lang w:val="sv-SE"/>
        </w:rPr>
        <w:t xml:space="preserve"> inkluderade postmenopausala kvinnor (N=277), premenopausala kvinnor (N=67) samt män (N=83). Vid studiens början var medelåldern på de postmenopausala kvinnorna 61</w:t>
      </w:r>
      <w:r w:rsidR="00A02F71" w:rsidRPr="009A4537">
        <w:rPr>
          <w:iCs/>
          <w:szCs w:val="22"/>
          <w:lang w:val="sv-SE"/>
        </w:rPr>
        <w:t> </w:t>
      </w:r>
      <w:r w:rsidRPr="009A4537">
        <w:rPr>
          <w:iCs/>
          <w:szCs w:val="22"/>
          <w:lang w:val="sv-SE"/>
        </w:rPr>
        <w:t>år, BMD i ländkotpelaren hade medel t</w:t>
      </w:r>
      <w:r w:rsidR="00A02F71" w:rsidRPr="009A4537">
        <w:rPr>
          <w:iCs/>
          <w:szCs w:val="22"/>
          <w:lang w:val="sv-SE"/>
        </w:rPr>
        <w:noBreakHyphen/>
      </w:r>
      <w:r w:rsidRPr="009A4537">
        <w:rPr>
          <w:iCs/>
          <w:szCs w:val="22"/>
          <w:lang w:val="sv-SE"/>
        </w:rPr>
        <w:t>score -2,7, prednisondos motsvarande i medeltal 7,5 mg dagligen, och 34 % hade en eller flera röntgenverifierade kotfrakturer. De premenopausala kvinnorna hade en medelålder på 37</w:t>
      </w:r>
      <w:r w:rsidR="00A02F71" w:rsidRPr="009A4537">
        <w:rPr>
          <w:iCs/>
          <w:szCs w:val="22"/>
          <w:lang w:val="sv-SE"/>
        </w:rPr>
        <w:t> </w:t>
      </w:r>
      <w:r w:rsidRPr="009A4537">
        <w:rPr>
          <w:iCs/>
          <w:szCs w:val="22"/>
          <w:lang w:val="sv-SE"/>
        </w:rPr>
        <w:t>år, BMD i ländkotpelaren hade medel t</w:t>
      </w:r>
      <w:r w:rsidR="00A02F71" w:rsidRPr="009A4537">
        <w:rPr>
          <w:iCs/>
          <w:szCs w:val="22"/>
          <w:lang w:val="sv-SE"/>
        </w:rPr>
        <w:noBreakHyphen/>
      </w:r>
      <w:r w:rsidRPr="009A4537">
        <w:rPr>
          <w:iCs/>
          <w:szCs w:val="22"/>
          <w:lang w:val="sv-SE"/>
        </w:rPr>
        <w:t>score -2,5, en prednisondos motsvarande i medeltal 10 mg dagligen, och 9 % hade en eller flera röntgenverifierade kotfrakturer. Männens medelålder var 57</w:t>
      </w:r>
      <w:r w:rsidR="00A02F71" w:rsidRPr="009A4537">
        <w:rPr>
          <w:iCs/>
          <w:szCs w:val="22"/>
          <w:lang w:val="sv-SE"/>
        </w:rPr>
        <w:t> </w:t>
      </w:r>
      <w:r w:rsidRPr="009A4537">
        <w:rPr>
          <w:iCs/>
          <w:szCs w:val="22"/>
          <w:lang w:val="sv-SE"/>
        </w:rPr>
        <w:t>år, i medeltal BMD t</w:t>
      </w:r>
      <w:r w:rsidR="00A02F71" w:rsidRPr="009A4537">
        <w:rPr>
          <w:iCs/>
          <w:szCs w:val="22"/>
          <w:lang w:val="sv-SE"/>
        </w:rPr>
        <w:noBreakHyphen/>
      </w:r>
      <w:r w:rsidRPr="009A4537">
        <w:rPr>
          <w:iCs/>
          <w:szCs w:val="22"/>
          <w:lang w:val="sv-SE"/>
        </w:rPr>
        <w:t>score -2,2 i ländkotpelaren, prednisondos motsvarande i medeltal 10 mg dagligen, och 24 % hade en eller flera röntgenverifierade kotfrakturer.</w:t>
      </w:r>
    </w:p>
    <w:p w14:paraId="31293522" w14:textId="77777777" w:rsidR="00411F88" w:rsidRPr="009A4537" w:rsidRDefault="00411F88" w:rsidP="00411F88">
      <w:pPr>
        <w:pStyle w:val="BodyText"/>
        <w:rPr>
          <w:iCs/>
          <w:szCs w:val="22"/>
          <w:lang w:val="sv-SE"/>
        </w:rPr>
      </w:pPr>
    </w:p>
    <w:p w14:paraId="14E81599" w14:textId="77777777" w:rsidR="003E6BDC" w:rsidRPr="009A4537" w:rsidRDefault="00411F88" w:rsidP="003E6BDC">
      <w:pPr>
        <w:pStyle w:val="BodyText"/>
        <w:rPr>
          <w:iCs/>
          <w:szCs w:val="22"/>
          <w:lang w:val="sv-SE"/>
        </w:rPr>
      </w:pPr>
      <w:r w:rsidRPr="009A4537">
        <w:rPr>
          <w:iCs/>
          <w:szCs w:val="22"/>
          <w:lang w:val="sv-SE"/>
        </w:rPr>
        <w:t xml:space="preserve">69 % av patienterna fullföljde </w:t>
      </w:r>
      <w:r w:rsidR="0046635F" w:rsidRPr="009A4537">
        <w:rPr>
          <w:iCs/>
          <w:szCs w:val="22"/>
          <w:lang w:val="sv-SE"/>
        </w:rPr>
        <w:t xml:space="preserve">den första fasen på </w:t>
      </w:r>
      <w:r w:rsidRPr="009A4537">
        <w:rPr>
          <w:iCs/>
          <w:szCs w:val="22"/>
          <w:lang w:val="sv-SE"/>
        </w:rPr>
        <w:t>18</w:t>
      </w:r>
      <w:r w:rsidR="008454EF" w:rsidRPr="009A4537">
        <w:rPr>
          <w:iCs/>
          <w:szCs w:val="22"/>
          <w:lang w:val="sv-SE"/>
        </w:rPr>
        <w:t> </w:t>
      </w:r>
      <w:r w:rsidRPr="009A4537">
        <w:rPr>
          <w:iCs/>
          <w:szCs w:val="22"/>
          <w:lang w:val="sv-SE"/>
        </w:rPr>
        <w:t xml:space="preserve">månader. </w:t>
      </w:r>
      <w:r w:rsidR="00D024E1" w:rsidRPr="009A4537">
        <w:rPr>
          <w:iCs/>
          <w:szCs w:val="22"/>
          <w:lang w:val="sv-SE"/>
        </w:rPr>
        <w:t>Efter 18</w:t>
      </w:r>
      <w:r w:rsidR="008454EF" w:rsidRPr="009A4537">
        <w:rPr>
          <w:iCs/>
          <w:szCs w:val="22"/>
          <w:lang w:val="sv-SE"/>
        </w:rPr>
        <w:t> </w:t>
      </w:r>
      <w:r w:rsidR="00D024E1" w:rsidRPr="009A4537">
        <w:rPr>
          <w:iCs/>
          <w:szCs w:val="22"/>
          <w:lang w:val="sv-SE"/>
        </w:rPr>
        <w:t xml:space="preserve">månader </w:t>
      </w:r>
      <w:r w:rsidRPr="009A4537">
        <w:rPr>
          <w:iCs/>
          <w:szCs w:val="22"/>
          <w:lang w:val="sv-SE"/>
        </w:rPr>
        <w:t xml:space="preserve">hade </w:t>
      </w:r>
      <w:r w:rsidR="00CD41F4" w:rsidRPr="009A4537">
        <w:rPr>
          <w:iCs/>
          <w:szCs w:val="22"/>
          <w:lang w:val="sv-SE"/>
        </w:rPr>
        <w:t>teriparatid</w:t>
      </w:r>
      <w:r w:rsidRPr="009A4537">
        <w:rPr>
          <w:iCs/>
          <w:szCs w:val="22"/>
          <w:lang w:val="sv-SE"/>
        </w:rPr>
        <w:t xml:space="preserve"> signifikant ökat ländkotpelarens BMD (7,2 %) jämfört med alendronat (3,4 %) (p&lt;0,001). </w:t>
      </w:r>
      <w:r w:rsidR="006D4D00" w:rsidRPr="009A4537">
        <w:rPr>
          <w:iCs/>
          <w:szCs w:val="22"/>
          <w:lang w:val="sv-SE"/>
        </w:rPr>
        <w:t>T</w:t>
      </w:r>
      <w:r w:rsidR="00CD41F4" w:rsidRPr="009A4537">
        <w:rPr>
          <w:iCs/>
          <w:szCs w:val="22"/>
          <w:lang w:val="sv-SE"/>
        </w:rPr>
        <w:t>eriparatid</w:t>
      </w:r>
      <w:r w:rsidRPr="009A4537">
        <w:rPr>
          <w:iCs/>
          <w:szCs w:val="22"/>
          <w:lang w:val="sv-SE"/>
        </w:rPr>
        <w:t xml:space="preserve"> ökade BMD i hela höften (3,6 %) jämfört med alendronat (2,2 %) (p&lt;0,01), liksom i lårbenshalsen (3,7 %) jämfört med alendronat (2,1 %) (p&lt;0,05). </w:t>
      </w:r>
      <w:r w:rsidR="003E6BDC" w:rsidRPr="009A4537">
        <w:rPr>
          <w:iCs/>
          <w:szCs w:val="22"/>
          <w:lang w:val="sv-SE"/>
        </w:rPr>
        <w:t>Hos patienter som behandlades med teriparatid ökade BMD i ländkotpelaren, höften totalt och lårbenshalsen med ytterligare 1,7</w:t>
      </w:r>
      <w:r w:rsidR="00FD3CBF" w:rsidRPr="009A4537">
        <w:rPr>
          <w:iCs/>
          <w:szCs w:val="22"/>
          <w:lang w:val="sv-SE"/>
        </w:rPr>
        <w:t> </w:t>
      </w:r>
      <w:r w:rsidR="003E6BDC" w:rsidRPr="009A4537">
        <w:rPr>
          <w:iCs/>
          <w:szCs w:val="22"/>
          <w:lang w:val="sv-SE"/>
        </w:rPr>
        <w:t>%, 0,9</w:t>
      </w:r>
      <w:r w:rsidR="00FD3CBF" w:rsidRPr="009A4537">
        <w:rPr>
          <w:iCs/>
          <w:szCs w:val="22"/>
          <w:lang w:val="sv-SE"/>
        </w:rPr>
        <w:t> </w:t>
      </w:r>
      <w:r w:rsidR="003E6BDC" w:rsidRPr="009A4537">
        <w:rPr>
          <w:iCs/>
          <w:szCs w:val="22"/>
          <w:lang w:val="sv-SE"/>
        </w:rPr>
        <w:t>% respektive 0,4</w:t>
      </w:r>
      <w:r w:rsidR="00FD3CBF" w:rsidRPr="009A4537">
        <w:rPr>
          <w:iCs/>
          <w:szCs w:val="22"/>
          <w:lang w:val="sv-SE"/>
        </w:rPr>
        <w:t> </w:t>
      </w:r>
      <w:r w:rsidR="003E6BDC" w:rsidRPr="009A4537">
        <w:rPr>
          <w:iCs/>
          <w:szCs w:val="22"/>
          <w:lang w:val="sv-SE"/>
        </w:rPr>
        <w:t>% mellan 18 och 24</w:t>
      </w:r>
      <w:r w:rsidR="008454EF" w:rsidRPr="009A4537">
        <w:rPr>
          <w:iCs/>
          <w:szCs w:val="22"/>
          <w:lang w:val="sv-SE"/>
        </w:rPr>
        <w:t> </w:t>
      </w:r>
      <w:r w:rsidR="003E6BDC" w:rsidRPr="009A4537">
        <w:rPr>
          <w:iCs/>
          <w:szCs w:val="22"/>
          <w:lang w:val="sv-SE"/>
        </w:rPr>
        <w:t xml:space="preserve">månader. </w:t>
      </w:r>
    </w:p>
    <w:p w14:paraId="2691438F" w14:textId="77777777" w:rsidR="00E64DD6" w:rsidRPr="009A4537" w:rsidRDefault="00E64DD6" w:rsidP="009E630B">
      <w:pPr>
        <w:pStyle w:val="BodyText"/>
        <w:rPr>
          <w:iCs/>
          <w:szCs w:val="22"/>
          <w:lang w:val="sv-SE"/>
        </w:rPr>
      </w:pPr>
    </w:p>
    <w:p w14:paraId="2DD98889" w14:textId="77777777" w:rsidR="003E6BDC" w:rsidRPr="009A4537" w:rsidRDefault="003E6BDC" w:rsidP="009E630B">
      <w:pPr>
        <w:pStyle w:val="BodyText"/>
        <w:rPr>
          <w:iCs/>
          <w:szCs w:val="22"/>
          <w:lang w:val="sv-SE"/>
        </w:rPr>
      </w:pPr>
      <w:r w:rsidRPr="009A4537">
        <w:rPr>
          <w:iCs/>
          <w:szCs w:val="22"/>
          <w:lang w:val="sv-SE"/>
        </w:rPr>
        <w:t>Vid 36</w:t>
      </w:r>
      <w:r w:rsidR="008454EF" w:rsidRPr="009A4537">
        <w:rPr>
          <w:iCs/>
          <w:szCs w:val="22"/>
          <w:lang w:val="sv-SE"/>
        </w:rPr>
        <w:t> </w:t>
      </w:r>
      <w:r w:rsidRPr="009A4537">
        <w:rPr>
          <w:iCs/>
          <w:szCs w:val="22"/>
          <w:lang w:val="sv-SE"/>
        </w:rPr>
        <w:t xml:space="preserve">månader </w:t>
      </w:r>
      <w:r w:rsidR="00C16338" w:rsidRPr="009A4537">
        <w:rPr>
          <w:iCs/>
          <w:szCs w:val="22"/>
          <w:lang w:val="sv-SE"/>
        </w:rPr>
        <w:t>visade en analys av ryggröntgenbilder från 169</w:t>
      </w:r>
      <w:r w:rsidR="008454EF" w:rsidRPr="009A4537">
        <w:rPr>
          <w:iCs/>
          <w:szCs w:val="22"/>
          <w:lang w:val="sv-SE"/>
        </w:rPr>
        <w:t> </w:t>
      </w:r>
      <w:r w:rsidR="00C16338" w:rsidRPr="009A4537">
        <w:rPr>
          <w:iCs/>
          <w:szCs w:val="22"/>
          <w:lang w:val="sv-SE"/>
        </w:rPr>
        <w:t>alendronatpatienter och 173</w:t>
      </w:r>
      <w:r w:rsidR="008454EF" w:rsidRPr="009A4537">
        <w:rPr>
          <w:iCs/>
          <w:szCs w:val="22"/>
          <w:lang w:val="sv-SE"/>
        </w:rPr>
        <w:t> </w:t>
      </w:r>
      <w:r w:rsidR="00CD41F4" w:rsidRPr="009A4537">
        <w:rPr>
          <w:iCs/>
          <w:szCs w:val="22"/>
          <w:lang w:val="sv-SE"/>
        </w:rPr>
        <w:t>teriparatid</w:t>
      </w:r>
      <w:r w:rsidR="00C16338" w:rsidRPr="009A4537">
        <w:rPr>
          <w:iCs/>
          <w:szCs w:val="22"/>
          <w:lang w:val="sv-SE"/>
        </w:rPr>
        <w:t>patienter att 13</w:t>
      </w:r>
      <w:r w:rsidR="008454EF" w:rsidRPr="009A4537">
        <w:rPr>
          <w:iCs/>
          <w:szCs w:val="22"/>
          <w:lang w:val="sv-SE"/>
        </w:rPr>
        <w:t> </w:t>
      </w:r>
      <w:r w:rsidR="00C16338" w:rsidRPr="009A4537">
        <w:rPr>
          <w:iCs/>
          <w:szCs w:val="22"/>
          <w:lang w:val="sv-SE"/>
        </w:rPr>
        <w:t>patienter (7,7</w:t>
      </w:r>
      <w:r w:rsidR="008454EF" w:rsidRPr="009A4537">
        <w:rPr>
          <w:iCs/>
          <w:szCs w:val="22"/>
          <w:lang w:val="sv-SE"/>
        </w:rPr>
        <w:t> </w:t>
      </w:r>
      <w:r w:rsidR="00C16338" w:rsidRPr="009A4537">
        <w:rPr>
          <w:iCs/>
          <w:szCs w:val="22"/>
          <w:lang w:val="sv-SE"/>
        </w:rPr>
        <w:t xml:space="preserve">%) </w:t>
      </w:r>
      <w:r w:rsidR="003356AC" w:rsidRPr="009A4537">
        <w:rPr>
          <w:iCs/>
          <w:szCs w:val="22"/>
          <w:lang w:val="sv-SE"/>
        </w:rPr>
        <w:t>i alendronat</w:t>
      </w:r>
      <w:r w:rsidR="00C16338" w:rsidRPr="009A4537">
        <w:rPr>
          <w:iCs/>
          <w:szCs w:val="22"/>
          <w:lang w:val="sv-SE"/>
        </w:rPr>
        <w:t>gruppen hade råkat ut för en ny vertebral fraktur jämfört med 3</w:t>
      </w:r>
      <w:r w:rsidR="008454EF" w:rsidRPr="009A4537">
        <w:rPr>
          <w:iCs/>
          <w:szCs w:val="22"/>
          <w:lang w:val="sv-SE"/>
        </w:rPr>
        <w:t> </w:t>
      </w:r>
      <w:r w:rsidR="00C16338" w:rsidRPr="009A4537">
        <w:rPr>
          <w:iCs/>
          <w:szCs w:val="22"/>
          <w:lang w:val="sv-SE"/>
        </w:rPr>
        <w:t xml:space="preserve">patienter i </w:t>
      </w:r>
      <w:r w:rsidR="00CD41F4" w:rsidRPr="009A4537">
        <w:rPr>
          <w:iCs/>
          <w:szCs w:val="22"/>
          <w:lang w:val="sv-SE"/>
        </w:rPr>
        <w:t>teriparatid</w:t>
      </w:r>
      <w:r w:rsidR="00C16338" w:rsidRPr="009A4537">
        <w:rPr>
          <w:iCs/>
          <w:szCs w:val="22"/>
          <w:lang w:val="sv-SE"/>
        </w:rPr>
        <w:t>gruppen (1,7</w:t>
      </w:r>
      <w:r w:rsidR="008454EF" w:rsidRPr="009A4537">
        <w:rPr>
          <w:iCs/>
          <w:szCs w:val="22"/>
          <w:lang w:val="sv-SE"/>
        </w:rPr>
        <w:t> </w:t>
      </w:r>
      <w:r w:rsidR="00C16338" w:rsidRPr="009A4537">
        <w:rPr>
          <w:iCs/>
          <w:szCs w:val="22"/>
          <w:lang w:val="sv-SE"/>
        </w:rPr>
        <w:t>%) (p=0,01). Dessutom hade 15 av 214</w:t>
      </w:r>
      <w:r w:rsidR="008454EF" w:rsidRPr="009A4537">
        <w:rPr>
          <w:iCs/>
          <w:szCs w:val="22"/>
          <w:lang w:val="sv-SE"/>
        </w:rPr>
        <w:t> </w:t>
      </w:r>
      <w:r w:rsidR="00C16338" w:rsidRPr="009A4537">
        <w:rPr>
          <w:iCs/>
          <w:szCs w:val="22"/>
          <w:lang w:val="sv-SE"/>
        </w:rPr>
        <w:t>patienter i alendronatgrup</w:t>
      </w:r>
      <w:r w:rsidR="003356AC" w:rsidRPr="009A4537">
        <w:rPr>
          <w:iCs/>
          <w:szCs w:val="22"/>
          <w:lang w:val="sv-SE"/>
        </w:rPr>
        <w:t>pen (7,0</w:t>
      </w:r>
      <w:r w:rsidR="008454EF" w:rsidRPr="009A4537">
        <w:rPr>
          <w:iCs/>
          <w:szCs w:val="22"/>
          <w:lang w:val="sv-SE"/>
        </w:rPr>
        <w:t> </w:t>
      </w:r>
      <w:r w:rsidR="003356AC" w:rsidRPr="009A4537">
        <w:rPr>
          <w:iCs/>
          <w:szCs w:val="22"/>
          <w:lang w:val="sv-SE"/>
        </w:rPr>
        <w:t>%) råkat ut för en icke</w:t>
      </w:r>
      <w:r w:rsidR="008454EF" w:rsidRPr="009A4537">
        <w:rPr>
          <w:iCs/>
          <w:szCs w:val="22"/>
          <w:lang w:val="sv-SE"/>
        </w:rPr>
        <w:noBreakHyphen/>
      </w:r>
      <w:r w:rsidR="003356AC" w:rsidRPr="009A4537">
        <w:rPr>
          <w:iCs/>
          <w:szCs w:val="22"/>
          <w:lang w:val="sv-SE"/>
        </w:rPr>
        <w:t>vertebral</w:t>
      </w:r>
      <w:r w:rsidR="00C16338" w:rsidRPr="009A4537">
        <w:rPr>
          <w:iCs/>
          <w:szCs w:val="22"/>
          <w:lang w:val="sv-SE"/>
        </w:rPr>
        <w:t xml:space="preserve"> fraktur</w:t>
      </w:r>
      <w:r w:rsidR="003F4694" w:rsidRPr="009A4537">
        <w:rPr>
          <w:iCs/>
          <w:szCs w:val="22"/>
          <w:lang w:val="sv-SE"/>
        </w:rPr>
        <w:t xml:space="preserve"> </w:t>
      </w:r>
      <w:r w:rsidR="00C16338" w:rsidRPr="009A4537">
        <w:rPr>
          <w:iCs/>
          <w:szCs w:val="22"/>
          <w:lang w:val="sv-SE"/>
        </w:rPr>
        <w:t>jämfört med 16 av 214</w:t>
      </w:r>
      <w:r w:rsidR="008454EF" w:rsidRPr="009A4537">
        <w:rPr>
          <w:iCs/>
          <w:szCs w:val="22"/>
          <w:lang w:val="sv-SE"/>
        </w:rPr>
        <w:t> </w:t>
      </w:r>
      <w:r w:rsidR="00C16338" w:rsidRPr="009A4537">
        <w:rPr>
          <w:iCs/>
          <w:szCs w:val="22"/>
          <w:lang w:val="sv-SE"/>
        </w:rPr>
        <w:t xml:space="preserve">patienter i </w:t>
      </w:r>
      <w:r w:rsidR="00CD41F4" w:rsidRPr="009A4537">
        <w:rPr>
          <w:iCs/>
          <w:szCs w:val="22"/>
          <w:lang w:val="sv-SE"/>
        </w:rPr>
        <w:t>teriparatid</w:t>
      </w:r>
      <w:r w:rsidR="00C16338" w:rsidRPr="009A4537">
        <w:rPr>
          <w:iCs/>
          <w:szCs w:val="22"/>
          <w:lang w:val="sv-SE"/>
        </w:rPr>
        <w:t>gruppen (7,5</w:t>
      </w:r>
      <w:r w:rsidR="008454EF" w:rsidRPr="009A4537">
        <w:rPr>
          <w:iCs/>
          <w:szCs w:val="22"/>
          <w:lang w:val="sv-SE"/>
        </w:rPr>
        <w:t> </w:t>
      </w:r>
      <w:r w:rsidR="00C16338" w:rsidRPr="009A4537">
        <w:rPr>
          <w:iCs/>
          <w:szCs w:val="22"/>
          <w:lang w:val="sv-SE"/>
        </w:rPr>
        <w:t>%) (p=0,84).</w:t>
      </w:r>
    </w:p>
    <w:p w14:paraId="0D57C378" w14:textId="77777777" w:rsidR="00C16338" w:rsidRPr="009A4537" w:rsidRDefault="00C16338" w:rsidP="009E630B">
      <w:pPr>
        <w:pStyle w:val="BodyText"/>
        <w:rPr>
          <w:iCs/>
          <w:szCs w:val="22"/>
          <w:lang w:val="sv-SE"/>
        </w:rPr>
      </w:pPr>
    </w:p>
    <w:p w14:paraId="7AF281F2" w14:textId="77777777" w:rsidR="00AA741D" w:rsidRPr="009A4537" w:rsidRDefault="00E64DD6" w:rsidP="009E630B">
      <w:pPr>
        <w:pStyle w:val="BodyText"/>
        <w:rPr>
          <w:iCs/>
          <w:szCs w:val="22"/>
          <w:lang w:val="sv-SE"/>
        </w:rPr>
      </w:pPr>
      <w:r w:rsidRPr="009A4537">
        <w:rPr>
          <w:iCs/>
          <w:szCs w:val="22"/>
          <w:lang w:val="sv-SE"/>
        </w:rPr>
        <w:t>För premenopausala kvinnor var ökningen i BMD i ländkotpelaren, från studiens början till slut</w:t>
      </w:r>
      <w:r w:rsidR="003F4694" w:rsidRPr="009A4537">
        <w:rPr>
          <w:iCs/>
          <w:szCs w:val="22"/>
          <w:lang w:val="sv-SE"/>
        </w:rPr>
        <w:t>et av 18</w:t>
      </w:r>
      <w:r w:rsidR="008454EF" w:rsidRPr="009A4537">
        <w:rPr>
          <w:iCs/>
          <w:szCs w:val="22"/>
          <w:lang w:val="sv-SE"/>
        </w:rPr>
        <w:noBreakHyphen/>
      </w:r>
      <w:r w:rsidR="003F4694" w:rsidRPr="009A4537">
        <w:rPr>
          <w:iCs/>
          <w:szCs w:val="22"/>
          <w:lang w:val="sv-SE"/>
        </w:rPr>
        <w:t>månadersfasen</w:t>
      </w:r>
      <w:r w:rsidRPr="009A4537">
        <w:rPr>
          <w:iCs/>
          <w:szCs w:val="22"/>
          <w:lang w:val="sv-SE"/>
        </w:rPr>
        <w:t xml:space="preserve">, </w:t>
      </w:r>
      <w:r w:rsidR="000109F4" w:rsidRPr="009A4537">
        <w:rPr>
          <w:iCs/>
          <w:szCs w:val="22"/>
          <w:lang w:val="sv-SE"/>
        </w:rPr>
        <w:t xml:space="preserve">väsentligt </w:t>
      </w:r>
      <w:r w:rsidRPr="009A4537">
        <w:rPr>
          <w:iCs/>
          <w:szCs w:val="22"/>
          <w:lang w:val="sv-SE"/>
        </w:rPr>
        <w:t xml:space="preserve">större i gruppen som behandlades med </w:t>
      </w:r>
      <w:r w:rsidR="00CD41F4" w:rsidRPr="009A4537">
        <w:rPr>
          <w:iCs/>
          <w:szCs w:val="22"/>
          <w:lang w:val="sv-SE"/>
        </w:rPr>
        <w:t>teriparatid</w:t>
      </w:r>
      <w:r w:rsidRPr="009A4537">
        <w:rPr>
          <w:iCs/>
          <w:szCs w:val="22"/>
          <w:lang w:val="sv-SE"/>
        </w:rPr>
        <w:t xml:space="preserve"> jämfört med alendronatgruppen (4,2</w:t>
      </w:r>
      <w:r w:rsidR="00855A33" w:rsidRPr="009A4537">
        <w:rPr>
          <w:iCs/>
          <w:szCs w:val="22"/>
          <w:lang w:val="sv-SE"/>
        </w:rPr>
        <w:t> %</w:t>
      </w:r>
      <w:r w:rsidRPr="009A4537">
        <w:rPr>
          <w:iCs/>
          <w:szCs w:val="22"/>
          <w:lang w:val="sv-SE"/>
        </w:rPr>
        <w:t xml:space="preserve"> jämfört med -1,9</w:t>
      </w:r>
      <w:r w:rsidR="00855A33" w:rsidRPr="009A4537">
        <w:rPr>
          <w:iCs/>
          <w:szCs w:val="22"/>
          <w:lang w:val="sv-SE"/>
        </w:rPr>
        <w:t> %</w:t>
      </w:r>
      <w:r w:rsidRPr="009A4537">
        <w:rPr>
          <w:iCs/>
          <w:szCs w:val="22"/>
          <w:lang w:val="sv-SE"/>
        </w:rPr>
        <w:t>;</w:t>
      </w:r>
      <w:r w:rsidR="005D6334" w:rsidRPr="009A4537">
        <w:rPr>
          <w:iCs/>
          <w:szCs w:val="22"/>
          <w:lang w:val="sv-SE"/>
        </w:rPr>
        <w:t xml:space="preserve"> </w:t>
      </w:r>
      <w:r w:rsidRPr="009A4537">
        <w:rPr>
          <w:iCs/>
          <w:szCs w:val="22"/>
          <w:lang w:val="sv-SE"/>
        </w:rPr>
        <w:t>p&lt;0,001) och total höft (3,8</w:t>
      </w:r>
      <w:r w:rsidR="00855A33" w:rsidRPr="009A4537">
        <w:rPr>
          <w:iCs/>
          <w:szCs w:val="22"/>
          <w:lang w:val="sv-SE"/>
        </w:rPr>
        <w:t> %</w:t>
      </w:r>
      <w:r w:rsidRPr="009A4537">
        <w:rPr>
          <w:iCs/>
          <w:szCs w:val="22"/>
          <w:lang w:val="sv-SE"/>
        </w:rPr>
        <w:t xml:space="preserve"> jämfört med 0,9</w:t>
      </w:r>
      <w:r w:rsidR="00855A33" w:rsidRPr="009A4537">
        <w:rPr>
          <w:iCs/>
          <w:szCs w:val="22"/>
          <w:lang w:val="sv-SE"/>
        </w:rPr>
        <w:t> %</w:t>
      </w:r>
      <w:r w:rsidRPr="009A4537">
        <w:rPr>
          <w:iCs/>
          <w:szCs w:val="22"/>
          <w:lang w:val="sv-SE"/>
        </w:rPr>
        <w:t>;</w:t>
      </w:r>
      <w:r w:rsidR="005D6334" w:rsidRPr="009A4537">
        <w:rPr>
          <w:iCs/>
          <w:szCs w:val="22"/>
          <w:lang w:val="sv-SE"/>
        </w:rPr>
        <w:t xml:space="preserve"> </w:t>
      </w:r>
      <w:r w:rsidRPr="009A4537">
        <w:rPr>
          <w:iCs/>
          <w:szCs w:val="22"/>
          <w:lang w:val="sv-SE"/>
        </w:rPr>
        <w:t xml:space="preserve">p=0,005). </w:t>
      </w:r>
      <w:r w:rsidR="005D6334" w:rsidRPr="009A4537">
        <w:rPr>
          <w:iCs/>
          <w:szCs w:val="22"/>
          <w:lang w:val="sv-SE"/>
        </w:rPr>
        <w:t>Man såg dock ingen signifikant skillnad i antalet frakturer.</w:t>
      </w:r>
    </w:p>
    <w:p w14:paraId="44701953" w14:textId="77777777" w:rsidR="009E630B" w:rsidRPr="009A4537" w:rsidRDefault="009E630B">
      <w:pPr>
        <w:pStyle w:val="BodyText"/>
        <w:rPr>
          <w:iCs/>
          <w:szCs w:val="22"/>
          <w:lang w:val="sv-SE"/>
        </w:rPr>
      </w:pPr>
    </w:p>
    <w:p w14:paraId="1B885B19" w14:textId="77777777" w:rsidR="00FD3E90" w:rsidRPr="009A4537" w:rsidRDefault="00FD3E90">
      <w:pPr>
        <w:suppressAutoHyphens/>
        <w:ind w:left="567" w:hanging="567"/>
        <w:rPr>
          <w:szCs w:val="22"/>
          <w:lang w:val="sv-SE"/>
        </w:rPr>
      </w:pPr>
      <w:r w:rsidRPr="009A4537">
        <w:rPr>
          <w:b/>
          <w:szCs w:val="22"/>
          <w:lang w:val="sv-SE"/>
        </w:rPr>
        <w:t>5.2</w:t>
      </w:r>
      <w:r w:rsidRPr="009A4537">
        <w:rPr>
          <w:b/>
          <w:szCs w:val="22"/>
          <w:lang w:val="sv-SE"/>
        </w:rPr>
        <w:tab/>
        <w:t>Farmakokinetiska uppgifter</w:t>
      </w:r>
    </w:p>
    <w:p w14:paraId="591B8EAB" w14:textId="77777777" w:rsidR="00FD3E90" w:rsidRPr="009A4537" w:rsidRDefault="00FD3E90">
      <w:pPr>
        <w:suppressAutoHyphens/>
        <w:rPr>
          <w:szCs w:val="22"/>
          <w:lang w:val="sv-SE"/>
        </w:rPr>
      </w:pPr>
    </w:p>
    <w:p w14:paraId="113D25FE" w14:textId="77777777" w:rsidR="00171E45" w:rsidRPr="009A4537" w:rsidRDefault="00171E45">
      <w:pPr>
        <w:suppressAutoHyphens/>
        <w:rPr>
          <w:szCs w:val="22"/>
          <w:u w:val="single"/>
          <w:lang w:val="sv-SE"/>
        </w:rPr>
      </w:pPr>
      <w:r w:rsidRPr="009A4537">
        <w:rPr>
          <w:szCs w:val="22"/>
          <w:u w:val="single"/>
          <w:lang w:val="sv-SE"/>
        </w:rPr>
        <w:t>Distribution</w:t>
      </w:r>
    </w:p>
    <w:p w14:paraId="71E73C04" w14:textId="77777777" w:rsidR="00521E78" w:rsidRPr="009A4537" w:rsidRDefault="00521E78">
      <w:pPr>
        <w:suppressAutoHyphens/>
        <w:rPr>
          <w:szCs w:val="22"/>
          <w:u w:val="single"/>
          <w:lang w:val="sv-SE"/>
        </w:rPr>
      </w:pPr>
    </w:p>
    <w:p w14:paraId="4EF64EE0" w14:textId="77777777" w:rsidR="00171E45" w:rsidRPr="009A4537" w:rsidRDefault="00FD3E90">
      <w:pPr>
        <w:suppressAutoHyphens/>
        <w:rPr>
          <w:szCs w:val="22"/>
          <w:lang w:val="sv-SE"/>
        </w:rPr>
      </w:pPr>
      <w:r w:rsidRPr="009A4537">
        <w:rPr>
          <w:szCs w:val="22"/>
          <w:lang w:val="sv-SE"/>
        </w:rPr>
        <w:t xml:space="preserve">Distributionsvolymen är cirka 1,7 l/kg. Halveringstiden för </w:t>
      </w:r>
      <w:r w:rsidR="008454EF" w:rsidRPr="009A4537">
        <w:rPr>
          <w:szCs w:val="22"/>
          <w:lang w:val="sv-SE"/>
        </w:rPr>
        <w:t>teriparatid</w:t>
      </w:r>
      <w:r w:rsidRPr="009A4537">
        <w:rPr>
          <w:szCs w:val="22"/>
          <w:lang w:val="sv-SE"/>
        </w:rPr>
        <w:t xml:space="preserve"> är cirka 1</w:t>
      </w:r>
      <w:r w:rsidR="008454EF" w:rsidRPr="009A4537">
        <w:rPr>
          <w:szCs w:val="22"/>
          <w:lang w:val="sv-SE"/>
        </w:rPr>
        <w:t> </w:t>
      </w:r>
      <w:r w:rsidRPr="009A4537">
        <w:rPr>
          <w:szCs w:val="22"/>
          <w:lang w:val="sv-SE"/>
        </w:rPr>
        <w:t>timme vid subkutan injektion, vilket avspeglar den tid det tar för absorption från injektionsstället.</w:t>
      </w:r>
    </w:p>
    <w:p w14:paraId="5A3CD718" w14:textId="77777777" w:rsidR="00171E45" w:rsidRPr="009A4537" w:rsidRDefault="00171E45">
      <w:pPr>
        <w:suppressAutoHyphens/>
        <w:rPr>
          <w:szCs w:val="22"/>
          <w:lang w:val="sv-SE"/>
        </w:rPr>
      </w:pPr>
    </w:p>
    <w:p w14:paraId="6B1486E3" w14:textId="77777777" w:rsidR="00171E45" w:rsidRPr="009A4537" w:rsidRDefault="00171E45">
      <w:pPr>
        <w:suppressAutoHyphens/>
        <w:rPr>
          <w:szCs w:val="22"/>
          <w:u w:val="single"/>
          <w:lang w:val="sv-SE"/>
        </w:rPr>
      </w:pPr>
      <w:r w:rsidRPr="009A4537">
        <w:rPr>
          <w:szCs w:val="22"/>
          <w:u w:val="single"/>
          <w:lang w:val="sv-SE"/>
        </w:rPr>
        <w:t>Metabolism</w:t>
      </w:r>
    </w:p>
    <w:p w14:paraId="0D87A422" w14:textId="77777777" w:rsidR="00521E78" w:rsidRPr="009A4537" w:rsidRDefault="00521E78">
      <w:pPr>
        <w:suppressAutoHyphens/>
        <w:rPr>
          <w:szCs w:val="22"/>
          <w:u w:val="single"/>
          <w:lang w:val="sv-SE"/>
        </w:rPr>
      </w:pPr>
    </w:p>
    <w:p w14:paraId="27B074F5" w14:textId="77777777" w:rsidR="00FD3E90" w:rsidRPr="009A4537" w:rsidRDefault="00FD3E90">
      <w:pPr>
        <w:suppressAutoHyphens/>
        <w:rPr>
          <w:szCs w:val="22"/>
          <w:lang w:val="sv-SE"/>
        </w:rPr>
      </w:pPr>
      <w:r w:rsidRPr="009A4537">
        <w:rPr>
          <w:szCs w:val="22"/>
          <w:lang w:val="sv-SE"/>
        </w:rPr>
        <w:t xml:space="preserve">Inga studier av metabolism eller utsöndring har utförts med </w:t>
      </w:r>
      <w:r w:rsidR="008454EF" w:rsidRPr="009A4537">
        <w:rPr>
          <w:szCs w:val="22"/>
          <w:lang w:val="sv-SE"/>
        </w:rPr>
        <w:t>teriparatid</w:t>
      </w:r>
      <w:r w:rsidRPr="009A4537">
        <w:rPr>
          <w:szCs w:val="22"/>
          <w:lang w:val="sv-SE"/>
        </w:rPr>
        <w:t>, men perifer metabolism av parathormon förmodas ske företrädesvis i lever och njure.</w:t>
      </w:r>
    </w:p>
    <w:p w14:paraId="3783B538" w14:textId="77777777" w:rsidR="00FD3E90" w:rsidRPr="009A4537" w:rsidRDefault="00FD3E90">
      <w:pPr>
        <w:suppressAutoHyphens/>
        <w:rPr>
          <w:szCs w:val="22"/>
          <w:lang w:val="sv-SE"/>
        </w:rPr>
      </w:pPr>
    </w:p>
    <w:p w14:paraId="52CBF37E" w14:textId="77777777" w:rsidR="00171E45" w:rsidRPr="009A4537" w:rsidRDefault="00171E45" w:rsidP="006908B4">
      <w:pPr>
        <w:pStyle w:val="Heading6"/>
        <w:rPr>
          <w:iCs/>
          <w:color w:val="auto"/>
          <w:sz w:val="22"/>
          <w:szCs w:val="22"/>
          <w:u w:val="single"/>
          <w:lang w:val="sv-SE"/>
        </w:rPr>
      </w:pPr>
      <w:r w:rsidRPr="009A4537">
        <w:rPr>
          <w:iCs/>
          <w:color w:val="auto"/>
          <w:sz w:val="22"/>
          <w:szCs w:val="22"/>
          <w:u w:val="single"/>
          <w:lang w:val="sv-SE"/>
        </w:rPr>
        <w:t>Eliminering</w:t>
      </w:r>
    </w:p>
    <w:p w14:paraId="754913EB" w14:textId="77777777" w:rsidR="00521E78" w:rsidRPr="009A4537" w:rsidRDefault="00521E78" w:rsidP="00BC14F8">
      <w:pPr>
        <w:rPr>
          <w:lang w:val="sv-SE"/>
        </w:rPr>
      </w:pPr>
    </w:p>
    <w:p w14:paraId="0F8E14D6" w14:textId="77777777" w:rsidR="00171E45" w:rsidRPr="009A4537" w:rsidRDefault="008454EF" w:rsidP="00592FDC">
      <w:pPr>
        <w:rPr>
          <w:lang w:val="sv-SE"/>
        </w:rPr>
      </w:pPr>
      <w:r w:rsidRPr="009A4537">
        <w:rPr>
          <w:szCs w:val="22"/>
          <w:lang w:val="sv-SE"/>
        </w:rPr>
        <w:t>Teriparatid</w:t>
      </w:r>
      <w:r w:rsidR="00171E45" w:rsidRPr="009A4537">
        <w:rPr>
          <w:szCs w:val="22"/>
          <w:lang w:val="sv-SE"/>
        </w:rPr>
        <w:t xml:space="preserve"> elimineras genom levern och extrahepatisk clearance (cirka 62 l/timme hos kvinnor och 94 l/timme hos män).</w:t>
      </w:r>
    </w:p>
    <w:p w14:paraId="58C20FF6" w14:textId="77777777" w:rsidR="00FD3E90" w:rsidRPr="009A4537" w:rsidRDefault="00FD3E90" w:rsidP="006908B4">
      <w:pPr>
        <w:keepNext/>
        <w:suppressAutoHyphens/>
        <w:rPr>
          <w:i/>
          <w:szCs w:val="22"/>
          <w:lang w:val="sv-SE"/>
        </w:rPr>
      </w:pPr>
    </w:p>
    <w:p w14:paraId="27EB2F61" w14:textId="77777777" w:rsidR="00FD3E90" w:rsidRPr="009A4537" w:rsidRDefault="00FD3E90" w:rsidP="006908B4">
      <w:pPr>
        <w:keepNext/>
        <w:suppressAutoHyphens/>
        <w:rPr>
          <w:szCs w:val="22"/>
          <w:u w:val="single"/>
          <w:lang w:val="sv-SE"/>
        </w:rPr>
      </w:pPr>
      <w:r w:rsidRPr="009A4537">
        <w:rPr>
          <w:szCs w:val="22"/>
          <w:u w:val="single"/>
          <w:lang w:val="sv-SE"/>
        </w:rPr>
        <w:t>Äldre</w:t>
      </w:r>
    </w:p>
    <w:p w14:paraId="04855C02" w14:textId="77777777" w:rsidR="00521E78" w:rsidRPr="009A4537" w:rsidRDefault="00521E78" w:rsidP="006908B4">
      <w:pPr>
        <w:keepNext/>
        <w:suppressAutoHyphens/>
        <w:rPr>
          <w:szCs w:val="22"/>
          <w:u w:val="single"/>
          <w:lang w:val="sv-SE"/>
        </w:rPr>
      </w:pPr>
    </w:p>
    <w:p w14:paraId="0B275BF2" w14:textId="77777777" w:rsidR="00FD3E90" w:rsidRPr="009A4537" w:rsidRDefault="00FD3E90" w:rsidP="006908B4">
      <w:pPr>
        <w:keepNext/>
        <w:suppressAutoHyphens/>
        <w:rPr>
          <w:szCs w:val="22"/>
          <w:lang w:val="sv-SE"/>
        </w:rPr>
      </w:pPr>
      <w:r w:rsidRPr="009A4537">
        <w:rPr>
          <w:szCs w:val="22"/>
          <w:lang w:val="sv-SE"/>
        </w:rPr>
        <w:t>Inga skillnader i farmakokinetiken på grund av ålder (intervall 31</w:t>
      </w:r>
      <w:r w:rsidR="008454EF" w:rsidRPr="009A4537">
        <w:rPr>
          <w:szCs w:val="22"/>
          <w:lang w:val="sv-SE"/>
        </w:rPr>
        <w:noBreakHyphen/>
      </w:r>
      <w:r w:rsidRPr="009A4537">
        <w:rPr>
          <w:szCs w:val="22"/>
          <w:lang w:val="sv-SE"/>
        </w:rPr>
        <w:t>85</w:t>
      </w:r>
      <w:r w:rsidR="008454EF" w:rsidRPr="009A4537">
        <w:rPr>
          <w:szCs w:val="22"/>
          <w:lang w:val="sv-SE"/>
        </w:rPr>
        <w:t> </w:t>
      </w:r>
      <w:r w:rsidRPr="009A4537">
        <w:rPr>
          <w:szCs w:val="22"/>
          <w:lang w:val="sv-SE"/>
        </w:rPr>
        <w:t>år) har påvisats. Dosjustering på grund av ålder är inte nödvändigt.</w:t>
      </w:r>
    </w:p>
    <w:p w14:paraId="7FFF149F" w14:textId="77777777" w:rsidR="00FD3E90" w:rsidRPr="009A4537" w:rsidRDefault="00FD3E90">
      <w:pPr>
        <w:pStyle w:val="Header"/>
        <w:tabs>
          <w:tab w:val="clear" w:pos="4320"/>
          <w:tab w:val="clear" w:pos="8640"/>
        </w:tabs>
        <w:suppressAutoHyphens/>
        <w:rPr>
          <w:szCs w:val="22"/>
          <w:lang w:val="sv-SE"/>
        </w:rPr>
      </w:pPr>
    </w:p>
    <w:p w14:paraId="77C7236D" w14:textId="77777777" w:rsidR="00FD3E90" w:rsidRPr="009A4537" w:rsidRDefault="00FD3E90" w:rsidP="006908B4">
      <w:pPr>
        <w:keepNext/>
        <w:numPr>
          <w:ilvl w:val="1"/>
          <w:numId w:val="12"/>
        </w:numPr>
        <w:suppressAutoHyphens/>
        <w:rPr>
          <w:b/>
          <w:szCs w:val="22"/>
          <w:lang w:val="sv-SE"/>
        </w:rPr>
      </w:pPr>
      <w:r w:rsidRPr="009A4537">
        <w:rPr>
          <w:b/>
          <w:szCs w:val="22"/>
          <w:lang w:val="sv-SE"/>
        </w:rPr>
        <w:t>Prekliniska säkerhetsuppgifter</w:t>
      </w:r>
    </w:p>
    <w:p w14:paraId="2DA6FC9E" w14:textId="77777777" w:rsidR="00FD3E90" w:rsidRPr="009A4537" w:rsidRDefault="00FD3E90" w:rsidP="006908B4">
      <w:pPr>
        <w:keepNext/>
        <w:suppressAutoHyphens/>
        <w:rPr>
          <w:szCs w:val="22"/>
          <w:lang w:val="sv-SE"/>
        </w:rPr>
      </w:pPr>
    </w:p>
    <w:p w14:paraId="7A360227" w14:textId="77777777" w:rsidR="00FD3E90" w:rsidRPr="009A4537" w:rsidRDefault="00FD3E90" w:rsidP="006908B4">
      <w:pPr>
        <w:keepNext/>
        <w:suppressAutoHyphens/>
        <w:rPr>
          <w:szCs w:val="22"/>
          <w:lang w:val="sv-SE"/>
        </w:rPr>
      </w:pPr>
      <w:r w:rsidRPr="009A4537">
        <w:rPr>
          <w:szCs w:val="22"/>
          <w:lang w:val="sv-SE"/>
        </w:rPr>
        <w:t xml:space="preserve">Teriparatid var inte genotoxiskt i allmänna standardtest. Det gav inga teratogena effekter på råtta, mus eller kanin. </w:t>
      </w:r>
      <w:r w:rsidR="00183EB9" w:rsidRPr="009A4537">
        <w:rPr>
          <w:szCs w:val="22"/>
          <w:lang w:val="sv-SE"/>
        </w:rPr>
        <w:t>Man såg inga speciella effekter hos dräktiga råttor och möss som fick teriparat</w:t>
      </w:r>
      <w:r w:rsidR="005F61E8" w:rsidRPr="009A4537">
        <w:rPr>
          <w:szCs w:val="22"/>
          <w:lang w:val="sv-SE"/>
        </w:rPr>
        <w:t>id i dagliga doser om 30 till 1</w:t>
      </w:r>
      <w:r w:rsidR="008454EF" w:rsidRPr="009A4537">
        <w:rPr>
          <w:szCs w:val="22"/>
          <w:lang w:val="sv-SE"/>
        </w:rPr>
        <w:t> </w:t>
      </w:r>
      <w:r w:rsidR="00183EB9" w:rsidRPr="009A4537">
        <w:rPr>
          <w:szCs w:val="22"/>
          <w:lang w:val="sv-SE"/>
        </w:rPr>
        <w:t>000</w:t>
      </w:r>
      <w:r w:rsidR="00855A33" w:rsidRPr="009A4537">
        <w:rPr>
          <w:szCs w:val="22"/>
          <w:lang w:val="sv-SE"/>
        </w:rPr>
        <w:t> mikro</w:t>
      </w:r>
      <w:r w:rsidR="00183EB9" w:rsidRPr="009A4537">
        <w:rPr>
          <w:szCs w:val="22"/>
          <w:lang w:val="sv-SE"/>
        </w:rPr>
        <w:t xml:space="preserve">gram/kg. Dräktiga kaniner som fick dagliga doser om </w:t>
      </w:r>
      <w:r w:rsidR="005F61E8" w:rsidRPr="009A4537">
        <w:rPr>
          <w:szCs w:val="22"/>
          <w:lang w:val="sv-SE"/>
        </w:rPr>
        <w:t>3</w:t>
      </w:r>
      <w:r w:rsidR="00183EB9" w:rsidRPr="009A4537">
        <w:rPr>
          <w:szCs w:val="22"/>
          <w:lang w:val="sv-SE"/>
        </w:rPr>
        <w:t xml:space="preserve"> till 100</w:t>
      </w:r>
      <w:r w:rsidR="005F61E8" w:rsidRPr="009A4537">
        <w:rPr>
          <w:szCs w:val="22"/>
          <w:lang w:val="sv-SE"/>
        </w:rPr>
        <w:t> </w:t>
      </w:r>
      <w:r w:rsidR="00183EB9" w:rsidRPr="009A4537">
        <w:rPr>
          <w:szCs w:val="22"/>
          <w:lang w:val="sv-SE"/>
        </w:rPr>
        <w:t xml:space="preserve">mikrogram/kg fick </w:t>
      </w:r>
      <w:r w:rsidR="004934DE" w:rsidRPr="009A4537">
        <w:rPr>
          <w:szCs w:val="22"/>
          <w:lang w:val="sv-SE"/>
        </w:rPr>
        <w:t xml:space="preserve">dock </w:t>
      </w:r>
      <w:r w:rsidR="00183EB9" w:rsidRPr="009A4537">
        <w:rPr>
          <w:szCs w:val="22"/>
          <w:lang w:val="sv-SE"/>
        </w:rPr>
        <w:t>fetal resorption</w:t>
      </w:r>
      <w:r w:rsidR="005F61E8" w:rsidRPr="009A4537">
        <w:rPr>
          <w:szCs w:val="22"/>
          <w:lang w:val="sv-SE"/>
        </w:rPr>
        <w:t xml:space="preserve"> och minskad kull</w:t>
      </w:r>
      <w:r w:rsidR="00411F88" w:rsidRPr="009A4537">
        <w:rPr>
          <w:szCs w:val="22"/>
          <w:lang w:val="sv-SE"/>
        </w:rPr>
        <w:t>storlek</w:t>
      </w:r>
      <w:r w:rsidR="00183EB9" w:rsidRPr="009A4537">
        <w:rPr>
          <w:szCs w:val="22"/>
          <w:lang w:val="sv-SE"/>
        </w:rPr>
        <w:t xml:space="preserve">. </w:t>
      </w:r>
      <w:r w:rsidR="005F61E8" w:rsidRPr="009A4537">
        <w:rPr>
          <w:szCs w:val="22"/>
          <w:lang w:val="sv-SE"/>
        </w:rPr>
        <w:t>Den embryotoxicitet som setts hos kanin</w:t>
      </w:r>
      <w:r w:rsidR="004934DE" w:rsidRPr="009A4537">
        <w:rPr>
          <w:szCs w:val="22"/>
          <w:lang w:val="sv-SE"/>
        </w:rPr>
        <w:t>er</w:t>
      </w:r>
      <w:r w:rsidR="006476DA" w:rsidRPr="009A4537">
        <w:rPr>
          <w:szCs w:val="22"/>
          <w:lang w:val="sv-SE"/>
        </w:rPr>
        <w:t xml:space="preserve"> kan bero på </w:t>
      </w:r>
      <w:r w:rsidR="005F61E8" w:rsidRPr="009A4537">
        <w:rPr>
          <w:szCs w:val="22"/>
          <w:lang w:val="sv-SE"/>
        </w:rPr>
        <w:t xml:space="preserve">deras </w:t>
      </w:r>
      <w:r w:rsidR="004934DE" w:rsidRPr="009A4537">
        <w:rPr>
          <w:szCs w:val="22"/>
          <w:lang w:val="sv-SE"/>
        </w:rPr>
        <w:t xml:space="preserve">mycket </w:t>
      </w:r>
      <w:r w:rsidR="005F61E8" w:rsidRPr="009A4537">
        <w:rPr>
          <w:szCs w:val="22"/>
          <w:lang w:val="sv-SE"/>
        </w:rPr>
        <w:t>större känslighet</w:t>
      </w:r>
      <w:r w:rsidR="006476DA" w:rsidRPr="009A4537">
        <w:rPr>
          <w:szCs w:val="22"/>
          <w:lang w:val="sv-SE"/>
        </w:rPr>
        <w:t xml:space="preserve"> för PTHs effekt på joniserat kalcium i blodet, jämfört med </w:t>
      </w:r>
      <w:r w:rsidR="005F61E8" w:rsidRPr="009A4537">
        <w:rPr>
          <w:szCs w:val="22"/>
          <w:lang w:val="sv-SE"/>
        </w:rPr>
        <w:t>gnagare</w:t>
      </w:r>
      <w:r w:rsidR="006476DA" w:rsidRPr="009A4537">
        <w:rPr>
          <w:szCs w:val="22"/>
          <w:lang w:val="sv-SE"/>
        </w:rPr>
        <w:t>.</w:t>
      </w:r>
    </w:p>
    <w:p w14:paraId="04FD7A52" w14:textId="77777777" w:rsidR="00FD3E90" w:rsidRPr="009A4537" w:rsidRDefault="00FD3E90">
      <w:pPr>
        <w:suppressAutoHyphens/>
        <w:rPr>
          <w:szCs w:val="22"/>
          <w:lang w:val="sv-SE"/>
        </w:rPr>
      </w:pPr>
    </w:p>
    <w:p w14:paraId="0B4A61DA" w14:textId="77777777" w:rsidR="00FD3E90" w:rsidRPr="009A4537" w:rsidRDefault="00FD3E90">
      <w:pPr>
        <w:suppressAutoHyphens/>
        <w:rPr>
          <w:szCs w:val="22"/>
          <w:lang w:val="sv-SE"/>
        </w:rPr>
      </w:pPr>
      <w:r w:rsidRPr="009A4537">
        <w:rPr>
          <w:szCs w:val="22"/>
          <w:lang w:val="sv-SE"/>
        </w:rPr>
        <w:t>Råttor, som behandlades med dagliga injektioner under så gott som hela livstiden, fick dosberoende, överdriven benbildning och ökad incidens av osteosarkom, sannolikt beroende på en epigenetisk mekanism. Teriparatid ökade inte förekomsten av någon annan typ av neoplasi hos råtta. På grund av skillnaden i benfysiologi hos råtta och människa är den kliniska relevansen av dessa fynd sannolikt ringa. Inga bentumörer har observerats hos apor med borttagna ovarier, som behandlats i 18</w:t>
      </w:r>
      <w:r w:rsidR="005206D7" w:rsidRPr="009A4537">
        <w:rPr>
          <w:szCs w:val="22"/>
          <w:lang w:val="sv-SE"/>
        </w:rPr>
        <w:t> </w:t>
      </w:r>
      <w:r w:rsidRPr="009A4537">
        <w:rPr>
          <w:szCs w:val="22"/>
          <w:lang w:val="sv-SE"/>
        </w:rPr>
        <w:t>månader</w:t>
      </w:r>
      <w:r w:rsidR="00AA741D" w:rsidRPr="009A4537">
        <w:rPr>
          <w:szCs w:val="22"/>
          <w:lang w:val="sv-SE"/>
        </w:rPr>
        <w:t xml:space="preserve"> </w:t>
      </w:r>
      <w:r w:rsidR="00940BD8" w:rsidRPr="009A4537">
        <w:rPr>
          <w:szCs w:val="22"/>
          <w:lang w:val="sv-SE"/>
        </w:rPr>
        <w:t>och inte h</w:t>
      </w:r>
      <w:r w:rsidR="00AA741D" w:rsidRPr="009A4537">
        <w:rPr>
          <w:szCs w:val="22"/>
          <w:lang w:val="sv-SE"/>
        </w:rPr>
        <w:t xml:space="preserve">eller under </w:t>
      </w:r>
      <w:r w:rsidR="00AE3E54" w:rsidRPr="009A4537">
        <w:rPr>
          <w:szCs w:val="22"/>
          <w:lang w:val="sv-SE"/>
        </w:rPr>
        <w:t>den 3</w:t>
      </w:r>
      <w:r w:rsidR="005206D7" w:rsidRPr="009A4537">
        <w:rPr>
          <w:szCs w:val="22"/>
          <w:lang w:val="sv-SE"/>
        </w:rPr>
        <w:noBreakHyphen/>
      </w:r>
      <w:r w:rsidR="00AE3E54" w:rsidRPr="009A4537">
        <w:rPr>
          <w:szCs w:val="22"/>
          <w:lang w:val="sv-SE"/>
        </w:rPr>
        <w:t>åriga uppföljningsperioden efter avslutad behandling</w:t>
      </w:r>
      <w:r w:rsidRPr="009A4537">
        <w:rPr>
          <w:szCs w:val="22"/>
          <w:lang w:val="sv-SE"/>
        </w:rPr>
        <w:t>. Inga osteosarkom har heller observerats i de kliniska studierna eller under uppföljningsstudien efter behandlingen.</w:t>
      </w:r>
    </w:p>
    <w:p w14:paraId="3F98954D" w14:textId="77777777" w:rsidR="00FD3E90" w:rsidRPr="009A4537" w:rsidRDefault="00FD3E90">
      <w:pPr>
        <w:suppressAutoHyphens/>
        <w:rPr>
          <w:szCs w:val="22"/>
          <w:lang w:val="sv-SE"/>
        </w:rPr>
      </w:pPr>
    </w:p>
    <w:p w14:paraId="5BA49226" w14:textId="77777777" w:rsidR="00FD3E90" w:rsidRPr="009A4537" w:rsidRDefault="00FD3E90">
      <w:pPr>
        <w:suppressAutoHyphens/>
        <w:rPr>
          <w:szCs w:val="22"/>
          <w:lang w:val="sv-SE"/>
        </w:rPr>
      </w:pPr>
      <w:r w:rsidRPr="009A4537">
        <w:rPr>
          <w:szCs w:val="22"/>
          <w:lang w:val="sv-SE"/>
        </w:rPr>
        <w:t>Djurstudier har visat att starkt reducerat leverblodflöde minskar PTHs exponering för det viktigaste klyvningssystemet (Kupffers celler) och som en följd därav clearance av PTH (1</w:t>
      </w:r>
      <w:r w:rsidR="005206D7" w:rsidRPr="009A4537">
        <w:rPr>
          <w:szCs w:val="22"/>
          <w:lang w:val="sv-SE"/>
        </w:rPr>
        <w:noBreakHyphen/>
      </w:r>
      <w:r w:rsidRPr="009A4537">
        <w:rPr>
          <w:szCs w:val="22"/>
          <w:lang w:val="sv-SE"/>
        </w:rPr>
        <w:t>84).</w:t>
      </w:r>
    </w:p>
    <w:p w14:paraId="53879A37" w14:textId="77777777" w:rsidR="00FD3E90" w:rsidRPr="009A4537" w:rsidRDefault="00FD3E90">
      <w:pPr>
        <w:suppressAutoHyphens/>
        <w:rPr>
          <w:szCs w:val="22"/>
          <w:lang w:val="sv-SE"/>
        </w:rPr>
      </w:pPr>
    </w:p>
    <w:p w14:paraId="143404BA" w14:textId="77777777" w:rsidR="00FD3E90" w:rsidRPr="009A4537" w:rsidRDefault="00FD3E90">
      <w:pPr>
        <w:suppressAutoHyphens/>
        <w:rPr>
          <w:szCs w:val="22"/>
          <w:lang w:val="sv-SE"/>
        </w:rPr>
      </w:pPr>
    </w:p>
    <w:p w14:paraId="2AA617C2" w14:textId="77777777" w:rsidR="00FD3E90" w:rsidRPr="009A4537" w:rsidRDefault="00FD3E90">
      <w:pPr>
        <w:suppressAutoHyphens/>
        <w:ind w:left="567" w:hanging="567"/>
        <w:rPr>
          <w:szCs w:val="22"/>
          <w:lang w:val="sv-SE"/>
        </w:rPr>
      </w:pPr>
      <w:r w:rsidRPr="009A4537">
        <w:rPr>
          <w:b/>
          <w:szCs w:val="22"/>
          <w:lang w:val="sv-SE"/>
        </w:rPr>
        <w:t>6.</w:t>
      </w:r>
      <w:r w:rsidRPr="009A4537">
        <w:rPr>
          <w:b/>
          <w:szCs w:val="22"/>
          <w:lang w:val="sv-SE"/>
        </w:rPr>
        <w:tab/>
        <w:t>FARMACEUTISKA UPPGIFTER</w:t>
      </w:r>
    </w:p>
    <w:p w14:paraId="40EA2C31" w14:textId="77777777" w:rsidR="00FD3E90" w:rsidRPr="009A4537" w:rsidRDefault="00FD3E90">
      <w:pPr>
        <w:suppressAutoHyphens/>
        <w:rPr>
          <w:szCs w:val="22"/>
          <w:lang w:val="sv-SE"/>
        </w:rPr>
      </w:pPr>
    </w:p>
    <w:p w14:paraId="72AE2EE9" w14:textId="77777777" w:rsidR="00FD3E90" w:rsidRPr="009A4537" w:rsidRDefault="00FD3E90">
      <w:pPr>
        <w:suppressAutoHyphens/>
        <w:ind w:left="567" w:hanging="567"/>
        <w:rPr>
          <w:szCs w:val="22"/>
          <w:lang w:val="sv-SE"/>
        </w:rPr>
      </w:pPr>
      <w:r w:rsidRPr="009A4537">
        <w:rPr>
          <w:b/>
          <w:szCs w:val="22"/>
          <w:lang w:val="sv-SE"/>
        </w:rPr>
        <w:t>6.1</w:t>
      </w:r>
      <w:r w:rsidRPr="009A4537">
        <w:rPr>
          <w:b/>
          <w:szCs w:val="22"/>
          <w:lang w:val="sv-SE"/>
        </w:rPr>
        <w:tab/>
        <w:t>Förteckning över hjälpämnen</w:t>
      </w:r>
    </w:p>
    <w:p w14:paraId="1F4A9C0E" w14:textId="77777777" w:rsidR="00FD3E90" w:rsidRPr="009A4537" w:rsidRDefault="00FD3E90">
      <w:pPr>
        <w:suppressAutoHyphens/>
        <w:rPr>
          <w:szCs w:val="22"/>
          <w:lang w:val="sv-SE"/>
        </w:rPr>
      </w:pPr>
    </w:p>
    <w:p w14:paraId="0C517EDC" w14:textId="77777777" w:rsidR="00FD3E90" w:rsidRPr="009A4537" w:rsidRDefault="00FD3E90">
      <w:pPr>
        <w:suppressAutoHyphens/>
        <w:rPr>
          <w:szCs w:val="22"/>
          <w:lang w:val="sv-SE"/>
        </w:rPr>
      </w:pPr>
      <w:r w:rsidRPr="009A4537">
        <w:rPr>
          <w:szCs w:val="22"/>
          <w:lang w:val="sv-SE"/>
        </w:rPr>
        <w:t>Koncentrerad ättiksyra</w:t>
      </w:r>
    </w:p>
    <w:p w14:paraId="2D7C731F" w14:textId="77777777" w:rsidR="00FD3E90" w:rsidRPr="009A4537" w:rsidRDefault="00FD3E90">
      <w:pPr>
        <w:suppressAutoHyphens/>
        <w:rPr>
          <w:szCs w:val="22"/>
          <w:lang w:val="sv-SE"/>
        </w:rPr>
      </w:pPr>
      <w:r w:rsidRPr="009A4537">
        <w:rPr>
          <w:szCs w:val="22"/>
          <w:lang w:val="sv-SE"/>
        </w:rPr>
        <w:t>Natriumacetat (vattenfri)</w:t>
      </w:r>
    </w:p>
    <w:p w14:paraId="1A5944C1" w14:textId="77777777" w:rsidR="00FD3E90" w:rsidRPr="009A4537" w:rsidRDefault="00FD3E90">
      <w:pPr>
        <w:suppressAutoHyphens/>
        <w:rPr>
          <w:szCs w:val="22"/>
          <w:lang w:val="sv-SE"/>
        </w:rPr>
      </w:pPr>
      <w:r w:rsidRPr="009A4537">
        <w:rPr>
          <w:szCs w:val="22"/>
          <w:lang w:val="sv-SE"/>
        </w:rPr>
        <w:t>Mannitol</w:t>
      </w:r>
    </w:p>
    <w:p w14:paraId="6DAF6771" w14:textId="77777777" w:rsidR="00FD3E90" w:rsidRPr="009A4537" w:rsidRDefault="00FD3E90">
      <w:pPr>
        <w:suppressAutoHyphens/>
        <w:rPr>
          <w:szCs w:val="22"/>
          <w:lang w:val="sv-SE"/>
        </w:rPr>
      </w:pPr>
      <w:r w:rsidRPr="009A4537">
        <w:rPr>
          <w:szCs w:val="22"/>
          <w:lang w:val="sv-SE"/>
        </w:rPr>
        <w:t xml:space="preserve">Metakresol </w:t>
      </w:r>
    </w:p>
    <w:p w14:paraId="7D205741" w14:textId="77777777" w:rsidR="00FD3E90" w:rsidRPr="009A4537" w:rsidRDefault="00FD3E90">
      <w:pPr>
        <w:suppressAutoHyphens/>
        <w:rPr>
          <w:szCs w:val="22"/>
          <w:lang w:val="sv-SE"/>
        </w:rPr>
      </w:pPr>
      <w:r w:rsidRPr="009A4537">
        <w:rPr>
          <w:szCs w:val="22"/>
          <w:lang w:val="sv-SE"/>
        </w:rPr>
        <w:t>Saltsyra</w:t>
      </w:r>
      <w:r w:rsidR="00D265FE" w:rsidRPr="009A4537">
        <w:rPr>
          <w:szCs w:val="22"/>
          <w:lang w:val="sv-SE"/>
        </w:rPr>
        <w:t xml:space="preserve"> (för att justera pH)</w:t>
      </w:r>
    </w:p>
    <w:p w14:paraId="5CC04688" w14:textId="77777777" w:rsidR="00FD3E90" w:rsidRPr="009A4537" w:rsidRDefault="00FD3E90">
      <w:pPr>
        <w:suppressAutoHyphens/>
        <w:rPr>
          <w:szCs w:val="22"/>
          <w:lang w:val="sv-SE"/>
        </w:rPr>
      </w:pPr>
      <w:r w:rsidRPr="009A4537">
        <w:rPr>
          <w:szCs w:val="22"/>
          <w:lang w:val="sv-SE"/>
        </w:rPr>
        <w:t>Natriumhydroxid</w:t>
      </w:r>
      <w:r w:rsidR="00D265FE" w:rsidRPr="009A4537">
        <w:rPr>
          <w:szCs w:val="22"/>
          <w:lang w:val="sv-SE"/>
        </w:rPr>
        <w:t xml:space="preserve"> (för att justera pH)</w:t>
      </w:r>
    </w:p>
    <w:p w14:paraId="575EBB3A" w14:textId="77777777" w:rsidR="00FD3E90" w:rsidRPr="009A4537" w:rsidRDefault="00FD3E90">
      <w:pPr>
        <w:suppressAutoHyphens/>
        <w:rPr>
          <w:szCs w:val="22"/>
          <w:lang w:val="sv-SE"/>
        </w:rPr>
      </w:pPr>
      <w:r w:rsidRPr="009A4537">
        <w:rPr>
          <w:szCs w:val="22"/>
          <w:lang w:val="sv-SE"/>
        </w:rPr>
        <w:t>Vatten för injektionsvätskor</w:t>
      </w:r>
    </w:p>
    <w:p w14:paraId="68418885" w14:textId="77777777" w:rsidR="00FD3E90" w:rsidRPr="009A4537" w:rsidRDefault="00FD3E90">
      <w:pPr>
        <w:suppressAutoHyphens/>
        <w:rPr>
          <w:szCs w:val="22"/>
          <w:lang w:val="sv-SE"/>
        </w:rPr>
      </w:pPr>
    </w:p>
    <w:p w14:paraId="351F3819" w14:textId="77777777" w:rsidR="00FD3E90" w:rsidRPr="009A4537" w:rsidRDefault="00FD3E90">
      <w:pPr>
        <w:suppressAutoHyphens/>
        <w:ind w:left="567" w:hanging="567"/>
        <w:rPr>
          <w:szCs w:val="22"/>
          <w:lang w:val="sv-SE"/>
        </w:rPr>
      </w:pPr>
      <w:r w:rsidRPr="009A4537">
        <w:rPr>
          <w:b/>
          <w:szCs w:val="22"/>
          <w:lang w:val="sv-SE"/>
        </w:rPr>
        <w:t>6.2</w:t>
      </w:r>
      <w:r w:rsidRPr="009A4537">
        <w:rPr>
          <w:b/>
          <w:szCs w:val="22"/>
          <w:lang w:val="sv-SE"/>
        </w:rPr>
        <w:tab/>
        <w:t>Inkompatibiliteter</w:t>
      </w:r>
    </w:p>
    <w:p w14:paraId="09B7F280" w14:textId="77777777" w:rsidR="00FD3E90" w:rsidRPr="009A4537" w:rsidRDefault="00FD3E90">
      <w:pPr>
        <w:suppressAutoHyphens/>
        <w:rPr>
          <w:szCs w:val="22"/>
          <w:lang w:val="sv-SE"/>
        </w:rPr>
      </w:pPr>
    </w:p>
    <w:p w14:paraId="70DEBCB0" w14:textId="77777777" w:rsidR="00FD3E90" w:rsidRPr="009A4537" w:rsidRDefault="00FD3E90">
      <w:pPr>
        <w:suppressAutoHyphens/>
        <w:rPr>
          <w:szCs w:val="22"/>
          <w:lang w:val="sv-SE"/>
        </w:rPr>
      </w:pPr>
      <w:r w:rsidRPr="009A4537">
        <w:rPr>
          <w:szCs w:val="22"/>
          <w:lang w:val="sv-SE"/>
        </w:rPr>
        <w:t xml:space="preserve">Då blandbarhetsstudier saknas </w:t>
      </w:r>
      <w:r w:rsidR="00F73DE8" w:rsidRPr="009A4537">
        <w:rPr>
          <w:szCs w:val="22"/>
          <w:lang w:val="sv-SE"/>
        </w:rPr>
        <w:t>ska</w:t>
      </w:r>
      <w:r w:rsidRPr="009A4537">
        <w:rPr>
          <w:szCs w:val="22"/>
          <w:lang w:val="sv-SE"/>
        </w:rPr>
        <w:t xml:space="preserve"> detta läkemedel inte blandas med andra läkemedel.</w:t>
      </w:r>
    </w:p>
    <w:p w14:paraId="2BF9A1E0" w14:textId="77777777" w:rsidR="00FD3E90" w:rsidRPr="009A4537" w:rsidRDefault="00FD3E90">
      <w:pPr>
        <w:suppressAutoHyphens/>
        <w:rPr>
          <w:szCs w:val="22"/>
          <w:lang w:val="sv-SE"/>
        </w:rPr>
      </w:pPr>
    </w:p>
    <w:p w14:paraId="22C3E49F" w14:textId="77777777" w:rsidR="00FD3E90" w:rsidRPr="009A4537" w:rsidRDefault="00FD3E90">
      <w:pPr>
        <w:suppressAutoHyphens/>
        <w:ind w:left="567" w:hanging="567"/>
        <w:rPr>
          <w:szCs w:val="22"/>
          <w:lang w:val="sv-SE"/>
        </w:rPr>
      </w:pPr>
      <w:r w:rsidRPr="009A4537">
        <w:rPr>
          <w:b/>
          <w:szCs w:val="22"/>
          <w:lang w:val="sv-SE"/>
        </w:rPr>
        <w:t>6.3</w:t>
      </w:r>
      <w:r w:rsidRPr="009A4537">
        <w:rPr>
          <w:b/>
          <w:szCs w:val="22"/>
          <w:lang w:val="sv-SE"/>
        </w:rPr>
        <w:tab/>
        <w:t>Hållbarhet</w:t>
      </w:r>
    </w:p>
    <w:p w14:paraId="50265DDC" w14:textId="77777777" w:rsidR="00FD3E90" w:rsidRPr="009A4537" w:rsidRDefault="00FD3E90">
      <w:pPr>
        <w:suppressAutoHyphens/>
        <w:rPr>
          <w:szCs w:val="22"/>
          <w:lang w:val="sv-SE"/>
        </w:rPr>
      </w:pPr>
    </w:p>
    <w:p w14:paraId="6AEBA04E" w14:textId="77777777" w:rsidR="00FD3E90" w:rsidRPr="009A4537" w:rsidRDefault="00FD3E90">
      <w:pPr>
        <w:suppressAutoHyphens/>
        <w:rPr>
          <w:szCs w:val="22"/>
          <w:lang w:val="sv-SE"/>
        </w:rPr>
      </w:pPr>
      <w:r w:rsidRPr="009A4537">
        <w:rPr>
          <w:szCs w:val="22"/>
          <w:lang w:val="sv-SE"/>
        </w:rPr>
        <w:t>2</w:t>
      </w:r>
      <w:r w:rsidR="005206D7" w:rsidRPr="009A4537">
        <w:rPr>
          <w:szCs w:val="22"/>
          <w:lang w:val="sv-SE"/>
        </w:rPr>
        <w:t> </w:t>
      </w:r>
      <w:r w:rsidRPr="009A4537">
        <w:rPr>
          <w:szCs w:val="22"/>
          <w:lang w:val="sv-SE"/>
        </w:rPr>
        <w:t>år</w:t>
      </w:r>
    </w:p>
    <w:p w14:paraId="6C71B2F0" w14:textId="77777777" w:rsidR="00FD3E90" w:rsidRPr="009A4537" w:rsidRDefault="00FD3E90">
      <w:pPr>
        <w:suppressAutoHyphens/>
        <w:rPr>
          <w:szCs w:val="22"/>
          <w:lang w:val="sv-SE"/>
        </w:rPr>
      </w:pPr>
    </w:p>
    <w:p w14:paraId="60EAA2E3" w14:textId="77777777" w:rsidR="005206D7" w:rsidRPr="009A4537" w:rsidRDefault="005206D7">
      <w:pPr>
        <w:suppressAutoHyphens/>
        <w:rPr>
          <w:szCs w:val="22"/>
          <w:u w:val="single"/>
          <w:lang w:val="sv-SE"/>
        </w:rPr>
      </w:pPr>
      <w:r w:rsidRPr="009A4537">
        <w:rPr>
          <w:szCs w:val="22"/>
          <w:u w:val="single"/>
          <w:lang w:val="sv-SE"/>
        </w:rPr>
        <w:t>Efter första öppnande</w:t>
      </w:r>
    </w:p>
    <w:p w14:paraId="2477C87E" w14:textId="77777777" w:rsidR="00CD41F4" w:rsidRPr="009A4537" w:rsidRDefault="00CD41F4">
      <w:pPr>
        <w:suppressAutoHyphens/>
        <w:rPr>
          <w:szCs w:val="22"/>
          <w:lang w:val="sv-SE"/>
        </w:rPr>
      </w:pPr>
    </w:p>
    <w:p w14:paraId="22533E13" w14:textId="77777777" w:rsidR="006D4D00" w:rsidRPr="009A4537" w:rsidRDefault="00FD3E90">
      <w:pPr>
        <w:suppressAutoHyphens/>
        <w:rPr>
          <w:szCs w:val="22"/>
          <w:lang w:val="sv-SE"/>
        </w:rPr>
      </w:pPr>
      <w:r w:rsidRPr="009A4537">
        <w:rPr>
          <w:szCs w:val="22"/>
          <w:lang w:val="sv-SE"/>
        </w:rPr>
        <w:t>Kemisk, fysikalisk och mikrobiologisk stabilitet har visats för användning under 28</w:t>
      </w:r>
      <w:r w:rsidR="005206D7" w:rsidRPr="009A4537">
        <w:rPr>
          <w:szCs w:val="22"/>
          <w:lang w:val="sv-SE"/>
        </w:rPr>
        <w:t> </w:t>
      </w:r>
      <w:r w:rsidRPr="009A4537">
        <w:rPr>
          <w:szCs w:val="22"/>
          <w:lang w:val="sv-SE"/>
        </w:rPr>
        <w:t>dagar vid 2</w:t>
      </w:r>
      <w:r w:rsidR="005206D7" w:rsidRPr="009A4537">
        <w:rPr>
          <w:szCs w:val="22"/>
          <w:lang w:val="sv-SE"/>
        </w:rPr>
        <w:noBreakHyphen/>
      </w:r>
      <w:r w:rsidRPr="009A4537">
        <w:rPr>
          <w:szCs w:val="22"/>
          <w:lang w:val="sv-SE"/>
        </w:rPr>
        <w:t xml:space="preserve">8º C. </w:t>
      </w:r>
    </w:p>
    <w:p w14:paraId="6E81307F" w14:textId="77777777" w:rsidR="0092723E" w:rsidRPr="009A4537" w:rsidRDefault="0092723E">
      <w:pPr>
        <w:suppressAutoHyphens/>
        <w:rPr>
          <w:szCs w:val="22"/>
          <w:lang w:val="sv-SE"/>
        </w:rPr>
      </w:pPr>
    </w:p>
    <w:p w14:paraId="6D2E70EB" w14:textId="77777777" w:rsidR="00FD3E90" w:rsidRPr="009A4537" w:rsidRDefault="00FD3E90">
      <w:pPr>
        <w:suppressAutoHyphens/>
        <w:rPr>
          <w:szCs w:val="22"/>
          <w:lang w:val="sv-SE"/>
        </w:rPr>
      </w:pPr>
      <w:r w:rsidRPr="009A4537">
        <w:rPr>
          <w:szCs w:val="22"/>
          <w:lang w:val="sv-SE"/>
        </w:rPr>
        <w:t xml:space="preserve">Produkten kan efter öppnandet förvaras </w:t>
      </w:r>
      <w:r w:rsidR="00A65EC5" w:rsidRPr="009A4537">
        <w:rPr>
          <w:szCs w:val="22"/>
          <w:lang w:val="sv-SE"/>
        </w:rPr>
        <w:t>i</w:t>
      </w:r>
      <w:r w:rsidR="0092723E" w:rsidRPr="009A4537">
        <w:rPr>
          <w:szCs w:val="22"/>
          <w:lang w:val="sv-SE"/>
        </w:rPr>
        <w:t xml:space="preserve"> </w:t>
      </w:r>
      <w:r w:rsidRPr="009A4537">
        <w:rPr>
          <w:szCs w:val="22"/>
          <w:lang w:val="sv-SE"/>
        </w:rPr>
        <w:t>högst 28</w:t>
      </w:r>
      <w:r w:rsidR="005206D7" w:rsidRPr="009A4537">
        <w:rPr>
          <w:szCs w:val="22"/>
          <w:lang w:val="sv-SE"/>
        </w:rPr>
        <w:t> </w:t>
      </w:r>
      <w:r w:rsidRPr="009A4537">
        <w:rPr>
          <w:szCs w:val="22"/>
          <w:lang w:val="sv-SE"/>
        </w:rPr>
        <w:t>dagar vid 2</w:t>
      </w:r>
      <w:r w:rsidR="005206D7" w:rsidRPr="009A4537">
        <w:rPr>
          <w:szCs w:val="22"/>
          <w:lang w:val="sv-SE"/>
        </w:rPr>
        <w:noBreakHyphen/>
      </w:r>
      <w:r w:rsidRPr="009A4537">
        <w:rPr>
          <w:szCs w:val="22"/>
          <w:lang w:val="sv-SE"/>
        </w:rPr>
        <w:t>8º C</w:t>
      </w:r>
      <w:r w:rsidR="0092723E" w:rsidRPr="009A4537">
        <w:rPr>
          <w:szCs w:val="22"/>
          <w:lang w:val="sv-SE"/>
        </w:rPr>
        <w:t xml:space="preserve"> (kylskåp)</w:t>
      </w:r>
      <w:r w:rsidRPr="009A4537">
        <w:rPr>
          <w:szCs w:val="22"/>
          <w:lang w:val="sv-SE"/>
        </w:rPr>
        <w:t>. För förvaring under annan tid och andra förhållanden ansvarar användaren.</w:t>
      </w:r>
    </w:p>
    <w:p w14:paraId="29AEE015" w14:textId="77777777" w:rsidR="006D4D00" w:rsidRPr="009A4537" w:rsidRDefault="006D4D00">
      <w:pPr>
        <w:suppressAutoHyphens/>
        <w:rPr>
          <w:szCs w:val="22"/>
          <w:lang w:val="sv-SE"/>
        </w:rPr>
      </w:pPr>
    </w:p>
    <w:p w14:paraId="34D75115" w14:textId="77777777" w:rsidR="006D4D00" w:rsidRPr="009A4537" w:rsidRDefault="006D4D00">
      <w:pPr>
        <w:suppressAutoHyphens/>
        <w:rPr>
          <w:szCs w:val="22"/>
          <w:lang w:val="sv-SE"/>
        </w:rPr>
      </w:pPr>
      <w:r w:rsidRPr="009A4537">
        <w:rPr>
          <w:szCs w:val="22"/>
          <w:lang w:val="sv-SE"/>
        </w:rPr>
        <w:lastRenderedPageBreak/>
        <w:t xml:space="preserve">Detta läkemedel kan förvaras vid temperaturer upp till 25º C </w:t>
      </w:r>
      <w:r w:rsidR="00777250" w:rsidRPr="009A4537">
        <w:rPr>
          <w:szCs w:val="22"/>
          <w:lang w:val="sv-SE"/>
        </w:rPr>
        <w:t xml:space="preserve">i </w:t>
      </w:r>
      <w:r w:rsidRPr="009A4537">
        <w:rPr>
          <w:szCs w:val="22"/>
          <w:lang w:val="sv-SE"/>
        </w:rPr>
        <w:t>maximalt 3 dagar om det saknas kylskåp och ska därefter läggas tillbaka i kylskåpet och användas inom 28 dagar från den första injektionen. Sondel</w:t>
      </w:r>
      <w:r w:rsidR="00A07463" w:rsidRPr="009A4537">
        <w:rPr>
          <w:szCs w:val="22"/>
          <w:lang w:val="sv-SE"/>
        </w:rPr>
        <w:t>b</w:t>
      </w:r>
      <w:r w:rsidRPr="009A4537">
        <w:rPr>
          <w:szCs w:val="22"/>
          <w:lang w:val="sv-SE"/>
        </w:rPr>
        <w:t>ay injektionspenna ska kasseras om den har förvarats utanför kylskåp</w:t>
      </w:r>
      <w:r w:rsidR="00E31A6F" w:rsidRPr="009A4537">
        <w:rPr>
          <w:szCs w:val="22"/>
          <w:lang w:val="sv-SE"/>
        </w:rPr>
        <w:t xml:space="preserve"> vid upp till 25º C i mer än 3 dagar.</w:t>
      </w:r>
    </w:p>
    <w:p w14:paraId="434E6919" w14:textId="77777777" w:rsidR="00FD3E90" w:rsidRPr="009A4537" w:rsidRDefault="00FD3E90">
      <w:pPr>
        <w:suppressAutoHyphens/>
        <w:rPr>
          <w:szCs w:val="22"/>
          <w:lang w:val="sv-SE"/>
        </w:rPr>
      </w:pPr>
    </w:p>
    <w:p w14:paraId="3222AF16" w14:textId="77777777" w:rsidR="00FD3E90" w:rsidRPr="009A4537" w:rsidRDefault="00FD3E90" w:rsidP="006908B4">
      <w:pPr>
        <w:keepNext/>
        <w:suppressAutoHyphens/>
        <w:ind w:left="567" w:hanging="567"/>
        <w:rPr>
          <w:szCs w:val="22"/>
          <w:lang w:val="sv-SE"/>
        </w:rPr>
      </w:pPr>
      <w:r w:rsidRPr="009A4537">
        <w:rPr>
          <w:b/>
          <w:szCs w:val="22"/>
          <w:lang w:val="sv-SE"/>
        </w:rPr>
        <w:t>6.4</w:t>
      </w:r>
      <w:r w:rsidRPr="009A4537">
        <w:rPr>
          <w:b/>
          <w:szCs w:val="22"/>
          <w:lang w:val="sv-SE"/>
        </w:rPr>
        <w:tab/>
        <w:t>Särskilda förvaringsanvisningar</w:t>
      </w:r>
    </w:p>
    <w:p w14:paraId="77A3B202" w14:textId="77777777" w:rsidR="00FD3E90" w:rsidRPr="009A4537" w:rsidRDefault="00FD3E90" w:rsidP="006908B4">
      <w:pPr>
        <w:keepNext/>
        <w:suppressAutoHyphens/>
        <w:rPr>
          <w:szCs w:val="22"/>
          <w:lang w:val="sv-SE"/>
        </w:rPr>
      </w:pPr>
    </w:p>
    <w:p w14:paraId="5DF100D1" w14:textId="77777777" w:rsidR="00FD3E90" w:rsidRPr="009A4537" w:rsidRDefault="00FD3E90" w:rsidP="006908B4">
      <w:pPr>
        <w:keepNext/>
        <w:suppressAutoHyphens/>
        <w:rPr>
          <w:szCs w:val="22"/>
          <w:lang w:val="sv-SE"/>
        </w:rPr>
      </w:pPr>
      <w:r w:rsidRPr="009A4537">
        <w:rPr>
          <w:szCs w:val="22"/>
          <w:lang w:val="sv-SE"/>
        </w:rPr>
        <w:t>Förvaras i kylskåp (2</w:t>
      </w:r>
      <w:r w:rsidR="005206D7" w:rsidRPr="009A4537">
        <w:rPr>
          <w:szCs w:val="22"/>
          <w:lang w:val="sv-SE"/>
        </w:rPr>
        <w:t> </w:t>
      </w:r>
      <w:r w:rsidRPr="009A4537">
        <w:rPr>
          <w:rFonts w:ascii="Symbol" w:hAnsi="Symbol"/>
          <w:szCs w:val="22"/>
          <w:lang w:val="sv-SE"/>
        </w:rPr>
        <w:sym w:font="Symbol" w:char="F0B0"/>
      </w:r>
      <w:r w:rsidRPr="009A4537">
        <w:rPr>
          <w:szCs w:val="22"/>
          <w:lang w:val="sv-SE"/>
        </w:rPr>
        <w:t>C</w:t>
      </w:r>
      <w:r w:rsidR="005206D7" w:rsidRPr="009A4537">
        <w:rPr>
          <w:szCs w:val="22"/>
          <w:lang w:val="sv-SE"/>
        </w:rPr>
        <w:noBreakHyphen/>
      </w:r>
      <w:r w:rsidRPr="009A4537">
        <w:rPr>
          <w:szCs w:val="22"/>
          <w:lang w:val="sv-SE"/>
        </w:rPr>
        <w:t>8</w:t>
      </w:r>
      <w:r w:rsidR="005206D7" w:rsidRPr="009A4537">
        <w:rPr>
          <w:szCs w:val="22"/>
          <w:lang w:val="sv-SE"/>
        </w:rPr>
        <w:t> </w:t>
      </w:r>
      <w:r w:rsidRPr="009A4537">
        <w:rPr>
          <w:rFonts w:ascii="Symbol" w:hAnsi="Symbol"/>
          <w:szCs w:val="22"/>
          <w:lang w:val="sv-SE"/>
        </w:rPr>
        <w:sym w:font="Symbol" w:char="F0B0"/>
      </w:r>
      <w:r w:rsidRPr="009A4537">
        <w:rPr>
          <w:szCs w:val="22"/>
          <w:lang w:val="sv-SE"/>
        </w:rPr>
        <w:t>C). Får ej frysas.</w:t>
      </w:r>
      <w:r w:rsidR="005206D7" w:rsidRPr="009A4537">
        <w:rPr>
          <w:szCs w:val="22"/>
          <w:lang w:val="sv-SE"/>
        </w:rPr>
        <w:t xml:space="preserve"> Förvaras i originalförpackningen. Ljuskänsligt.</w:t>
      </w:r>
    </w:p>
    <w:p w14:paraId="01B94924" w14:textId="77777777" w:rsidR="00FD3E90" w:rsidRPr="009A4537" w:rsidRDefault="00FD3E90" w:rsidP="006908B4">
      <w:pPr>
        <w:keepNext/>
        <w:suppressAutoHyphens/>
        <w:rPr>
          <w:szCs w:val="22"/>
          <w:lang w:val="sv-SE"/>
        </w:rPr>
      </w:pPr>
    </w:p>
    <w:p w14:paraId="3C379D2E" w14:textId="77777777" w:rsidR="005206D7" w:rsidRPr="009A4537" w:rsidRDefault="005206D7" w:rsidP="006908B4">
      <w:pPr>
        <w:keepNext/>
        <w:suppressAutoHyphens/>
        <w:rPr>
          <w:lang w:val="sv-SE"/>
        </w:rPr>
      </w:pPr>
      <w:r w:rsidRPr="009A4537">
        <w:rPr>
          <w:lang w:val="sv-SE"/>
        </w:rPr>
        <w:t>Förvaringsanvisningar för läkemedlet efter öppnande finns i avsnitt 6.3.</w:t>
      </w:r>
    </w:p>
    <w:p w14:paraId="3C95C2E8" w14:textId="77777777" w:rsidR="00FD3E90" w:rsidRPr="009A4537" w:rsidRDefault="00FD3E90">
      <w:pPr>
        <w:suppressAutoHyphens/>
        <w:rPr>
          <w:szCs w:val="22"/>
          <w:lang w:val="sv-SE"/>
        </w:rPr>
      </w:pPr>
    </w:p>
    <w:p w14:paraId="58631CEA" w14:textId="77777777" w:rsidR="00FD3E90" w:rsidRPr="009A4537" w:rsidRDefault="00FD3E90" w:rsidP="006908B4">
      <w:pPr>
        <w:keepNext/>
        <w:suppressAutoHyphens/>
        <w:ind w:left="567" w:hanging="567"/>
        <w:rPr>
          <w:szCs w:val="22"/>
          <w:lang w:val="sv-SE"/>
        </w:rPr>
      </w:pPr>
      <w:r w:rsidRPr="009A4537">
        <w:rPr>
          <w:b/>
          <w:szCs w:val="22"/>
          <w:lang w:val="sv-SE"/>
        </w:rPr>
        <w:t>6.5</w:t>
      </w:r>
      <w:r w:rsidRPr="009A4537">
        <w:rPr>
          <w:b/>
          <w:szCs w:val="22"/>
          <w:lang w:val="sv-SE"/>
        </w:rPr>
        <w:tab/>
        <w:t>Förpackningstyp och innehåll</w:t>
      </w:r>
    </w:p>
    <w:p w14:paraId="6D5926A7" w14:textId="77777777" w:rsidR="00FD3E90" w:rsidRPr="009A4537" w:rsidRDefault="00FD3E90" w:rsidP="006908B4">
      <w:pPr>
        <w:keepNext/>
        <w:suppressAutoHyphens/>
        <w:rPr>
          <w:szCs w:val="22"/>
          <w:lang w:val="sv-SE"/>
        </w:rPr>
      </w:pPr>
    </w:p>
    <w:p w14:paraId="102CD938" w14:textId="77777777" w:rsidR="005206D7" w:rsidRPr="009A4537" w:rsidRDefault="005206D7" w:rsidP="006908B4">
      <w:pPr>
        <w:keepNext/>
        <w:suppressAutoHyphens/>
        <w:rPr>
          <w:lang w:val="sv-SE"/>
        </w:rPr>
      </w:pPr>
      <w:r w:rsidRPr="009A4537">
        <w:rPr>
          <w:szCs w:val="22"/>
          <w:lang w:val="sv-SE"/>
        </w:rPr>
        <w:t>2,4</w:t>
      </w:r>
      <w:r w:rsidRPr="009A4537">
        <w:rPr>
          <w:lang w:val="sv-SE"/>
        </w:rPr>
        <w:t> ml lösning i en cylinderampull (silikoniserat typ I</w:t>
      </w:r>
      <w:r w:rsidRPr="009A4537">
        <w:rPr>
          <w:lang w:val="sv-SE"/>
        </w:rPr>
        <w:noBreakHyphen/>
        <w:t>glas) med en kolv (bromobutylgummi)</w:t>
      </w:r>
      <w:r w:rsidR="00CD41F4" w:rsidRPr="009A4537">
        <w:rPr>
          <w:lang w:val="sv-SE"/>
        </w:rPr>
        <w:t xml:space="preserve"> och</w:t>
      </w:r>
      <w:r w:rsidRPr="009A4537">
        <w:rPr>
          <w:lang w:val="sv-SE"/>
        </w:rPr>
        <w:t xml:space="preserve"> försegling (bromobutylbelagd aluminiumförsegling) montera</w:t>
      </w:r>
      <w:r w:rsidR="00156E1F" w:rsidRPr="009A4537">
        <w:rPr>
          <w:lang w:val="sv-SE"/>
        </w:rPr>
        <w:t>de till en engångspenna.</w:t>
      </w:r>
    </w:p>
    <w:p w14:paraId="2395F942" w14:textId="77777777" w:rsidR="00156E1F" w:rsidRPr="009A4537" w:rsidRDefault="00156E1F" w:rsidP="006908B4">
      <w:pPr>
        <w:keepNext/>
        <w:suppressAutoHyphens/>
        <w:rPr>
          <w:lang w:val="sv-SE"/>
        </w:rPr>
      </w:pPr>
    </w:p>
    <w:p w14:paraId="4B88307E" w14:textId="77777777" w:rsidR="00156E1F" w:rsidRPr="009A4537" w:rsidRDefault="00156E1F" w:rsidP="006908B4">
      <w:pPr>
        <w:keepNext/>
        <w:suppressAutoHyphens/>
        <w:rPr>
          <w:lang w:val="sv-SE"/>
        </w:rPr>
      </w:pPr>
      <w:r w:rsidRPr="009A4537">
        <w:rPr>
          <w:lang w:val="sv-SE"/>
        </w:rPr>
        <w:t>Sondelbay finns i förpack</w:t>
      </w:r>
      <w:r w:rsidR="00CD41F4" w:rsidRPr="009A4537">
        <w:rPr>
          <w:lang w:val="sv-SE"/>
        </w:rPr>
        <w:t>n</w:t>
      </w:r>
      <w:r w:rsidRPr="009A4537">
        <w:rPr>
          <w:lang w:val="sv-SE"/>
        </w:rPr>
        <w:t xml:space="preserve">ingar med 1 förfylld </w:t>
      </w:r>
      <w:r w:rsidR="002D68A7" w:rsidRPr="009A4537">
        <w:rPr>
          <w:lang w:val="sv-SE"/>
        </w:rPr>
        <w:t>injektions</w:t>
      </w:r>
      <w:r w:rsidRPr="009A4537">
        <w:rPr>
          <w:lang w:val="sv-SE"/>
        </w:rPr>
        <w:t xml:space="preserve">penna eller 3 förfyllda </w:t>
      </w:r>
      <w:r w:rsidR="002D68A7" w:rsidRPr="009A4537">
        <w:rPr>
          <w:lang w:val="sv-SE"/>
        </w:rPr>
        <w:t>injektions</w:t>
      </w:r>
      <w:r w:rsidRPr="009A4537">
        <w:rPr>
          <w:lang w:val="sv-SE"/>
        </w:rPr>
        <w:t xml:space="preserve">pennor. Varje förfylld </w:t>
      </w:r>
      <w:r w:rsidR="002D68A7" w:rsidRPr="009A4537">
        <w:rPr>
          <w:lang w:val="sv-SE"/>
        </w:rPr>
        <w:t>injektions</w:t>
      </w:r>
      <w:r w:rsidRPr="009A4537">
        <w:rPr>
          <w:lang w:val="sv-SE"/>
        </w:rPr>
        <w:t xml:space="preserve">penna innehåller 28 doser </w:t>
      </w:r>
      <w:r w:rsidR="00CD41F4" w:rsidRPr="009A4537">
        <w:rPr>
          <w:lang w:val="sv-SE"/>
        </w:rPr>
        <w:t>à</w:t>
      </w:r>
      <w:r w:rsidRPr="009A4537">
        <w:rPr>
          <w:lang w:val="sv-SE"/>
        </w:rPr>
        <w:t xml:space="preserve"> 20 mikrogram (per 80 mikroliter).</w:t>
      </w:r>
    </w:p>
    <w:p w14:paraId="42B9319B" w14:textId="77777777" w:rsidR="00156E1F" w:rsidRPr="009A4537" w:rsidRDefault="00156E1F" w:rsidP="006908B4">
      <w:pPr>
        <w:keepNext/>
        <w:suppressAutoHyphens/>
        <w:rPr>
          <w:lang w:val="sv-SE"/>
        </w:rPr>
      </w:pPr>
    </w:p>
    <w:p w14:paraId="55B0ED5C" w14:textId="77777777" w:rsidR="00156E1F" w:rsidRPr="009A4537" w:rsidRDefault="00156E1F" w:rsidP="006908B4">
      <w:pPr>
        <w:keepNext/>
        <w:suppressAutoHyphens/>
        <w:rPr>
          <w:lang w:val="sv-SE"/>
        </w:rPr>
      </w:pPr>
      <w:r w:rsidRPr="009A4537">
        <w:rPr>
          <w:lang w:val="sv-SE"/>
        </w:rPr>
        <w:t>Eventuellt kommer inte alla förpackningsstorlekar att marknadsföras.</w:t>
      </w:r>
    </w:p>
    <w:p w14:paraId="7F8ECB65" w14:textId="77777777" w:rsidR="00FD3E90" w:rsidRPr="009A4537" w:rsidRDefault="00FD3E90">
      <w:pPr>
        <w:suppressAutoHyphens/>
        <w:rPr>
          <w:szCs w:val="22"/>
          <w:lang w:val="sv-SE"/>
        </w:rPr>
      </w:pPr>
    </w:p>
    <w:p w14:paraId="241DCDE4" w14:textId="77777777" w:rsidR="00FD3E90" w:rsidRPr="009A4537" w:rsidRDefault="00FD3E90">
      <w:pPr>
        <w:suppressAutoHyphens/>
        <w:ind w:left="570" w:hanging="570"/>
        <w:rPr>
          <w:szCs w:val="22"/>
          <w:lang w:val="sv-SE"/>
        </w:rPr>
      </w:pPr>
      <w:r w:rsidRPr="009A4537">
        <w:rPr>
          <w:b/>
          <w:szCs w:val="22"/>
          <w:lang w:val="sv-SE"/>
        </w:rPr>
        <w:t>6.6</w:t>
      </w:r>
      <w:r w:rsidRPr="009A4537">
        <w:rPr>
          <w:b/>
          <w:szCs w:val="22"/>
          <w:lang w:val="sv-SE"/>
        </w:rPr>
        <w:tab/>
        <w:t>Särskilda anvisningar för destruktion</w:t>
      </w:r>
    </w:p>
    <w:p w14:paraId="26706265" w14:textId="77777777" w:rsidR="00FD3E90" w:rsidRPr="009A4537" w:rsidRDefault="00FD3E90">
      <w:pPr>
        <w:suppressAutoHyphens/>
        <w:rPr>
          <w:szCs w:val="22"/>
          <w:lang w:val="sv-SE"/>
        </w:rPr>
      </w:pPr>
    </w:p>
    <w:p w14:paraId="407B89DE" w14:textId="77777777" w:rsidR="00156E1F" w:rsidRPr="009A4537" w:rsidRDefault="00156E1F">
      <w:pPr>
        <w:suppressAutoHyphens/>
        <w:rPr>
          <w:szCs w:val="22"/>
          <w:lang w:val="sv-SE"/>
        </w:rPr>
      </w:pPr>
      <w:r w:rsidRPr="009A4537">
        <w:rPr>
          <w:szCs w:val="22"/>
          <w:u w:val="single"/>
          <w:lang w:val="sv-SE"/>
        </w:rPr>
        <w:t>Hantering</w:t>
      </w:r>
    </w:p>
    <w:p w14:paraId="5E64E6EF" w14:textId="77777777" w:rsidR="00156E1F" w:rsidRPr="009A4537" w:rsidRDefault="00156E1F">
      <w:pPr>
        <w:suppressAutoHyphens/>
        <w:rPr>
          <w:szCs w:val="22"/>
          <w:lang w:val="sv-SE"/>
        </w:rPr>
      </w:pPr>
    </w:p>
    <w:p w14:paraId="5FFC3E22" w14:textId="77777777" w:rsidR="00E31A6F" w:rsidRPr="009A4537" w:rsidRDefault="00156E1F">
      <w:pPr>
        <w:suppressAutoHyphens/>
        <w:rPr>
          <w:szCs w:val="22"/>
          <w:lang w:val="sv-SE"/>
        </w:rPr>
      </w:pPr>
      <w:r w:rsidRPr="009A4537">
        <w:rPr>
          <w:szCs w:val="22"/>
          <w:lang w:val="sv-SE"/>
        </w:rPr>
        <w:t xml:space="preserve">Sondelbay levereras i en förfylld </w:t>
      </w:r>
      <w:r w:rsidR="002D68A7" w:rsidRPr="009A4537">
        <w:rPr>
          <w:szCs w:val="22"/>
          <w:lang w:val="sv-SE"/>
        </w:rPr>
        <w:t>injektions</w:t>
      </w:r>
      <w:r w:rsidRPr="009A4537">
        <w:rPr>
          <w:szCs w:val="22"/>
          <w:lang w:val="sv-SE"/>
        </w:rPr>
        <w:t xml:space="preserve">penna. Varje </w:t>
      </w:r>
      <w:r w:rsidR="002D68A7" w:rsidRPr="009A4537">
        <w:rPr>
          <w:szCs w:val="22"/>
          <w:lang w:val="sv-SE"/>
        </w:rPr>
        <w:t>injektions</w:t>
      </w:r>
      <w:r w:rsidRPr="009A4537">
        <w:rPr>
          <w:szCs w:val="22"/>
          <w:lang w:val="sv-SE"/>
        </w:rPr>
        <w:t xml:space="preserve">penna är endast avsedd för en patient. En ny, steril </w:t>
      </w:r>
      <w:r w:rsidR="009F013B" w:rsidRPr="009A4537">
        <w:rPr>
          <w:szCs w:val="22"/>
          <w:lang w:val="sv-SE"/>
        </w:rPr>
        <w:t>injektions</w:t>
      </w:r>
      <w:r w:rsidR="007F6514" w:rsidRPr="009A4537">
        <w:rPr>
          <w:szCs w:val="22"/>
          <w:lang w:val="sv-SE"/>
        </w:rPr>
        <w:t>nål</w:t>
      </w:r>
      <w:r w:rsidRPr="009A4537">
        <w:rPr>
          <w:szCs w:val="22"/>
          <w:lang w:val="sv-SE"/>
        </w:rPr>
        <w:t xml:space="preserve"> måste användas vid varje injektion. Inga </w:t>
      </w:r>
      <w:r w:rsidR="009F013B" w:rsidRPr="009A4537">
        <w:rPr>
          <w:szCs w:val="22"/>
          <w:lang w:val="sv-SE"/>
        </w:rPr>
        <w:t>injektions</w:t>
      </w:r>
      <w:r w:rsidR="007F6514" w:rsidRPr="009A4537">
        <w:rPr>
          <w:szCs w:val="22"/>
          <w:lang w:val="sv-SE"/>
        </w:rPr>
        <w:t>nålar</w:t>
      </w:r>
      <w:r w:rsidRPr="009A4537">
        <w:rPr>
          <w:szCs w:val="22"/>
          <w:lang w:val="sv-SE"/>
        </w:rPr>
        <w:t xml:space="preserve"> medföljer läkemedlet. </w:t>
      </w:r>
      <w:r w:rsidR="002D68A7" w:rsidRPr="009A4537">
        <w:rPr>
          <w:szCs w:val="22"/>
          <w:lang w:val="sv-SE"/>
        </w:rPr>
        <w:t>Injektionsp</w:t>
      </w:r>
      <w:r w:rsidRPr="009A4537">
        <w:rPr>
          <w:szCs w:val="22"/>
          <w:lang w:val="sv-SE"/>
        </w:rPr>
        <w:t xml:space="preserve">ennan kan användas med </w:t>
      </w:r>
      <w:r w:rsidR="009F013B" w:rsidRPr="009A4537">
        <w:rPr>
          <w:szCs w:val="22"/>
          <w:lang w:val="sv-SE"/>
        </w:rPr>
        <w:t>injektions</w:t>
      </w:r>
      <w:r w:rsidR="00B319C7" w:rsidRPr="009A4537">
        <w:rPr>
          <w:szCs w:val="22"/>
          <w:lang w:val="sv-SE"/>
        </w:rPr>
        <w:t>nålar</w:t>
      </w:r>
      <w:r w:rsidR="00D85DCD" w:rsidRPr="009A4537">
        <w:rPr>
          <w:szCs w:val="22"/>
          <w:lang w:val="sv-SE"/>
        </w:rPr>
        <w:t xml:space="preserve"> för injektionspennor</w:t>
      </w:r>
      <w:r w:rsidRPr="009A4537">
        <w:rPr>
          <w:szCs w:val="22"/>
          <w:lang w:val="sv-SE"/>
        </w:rPr>
        <w:t xml:space="preserve"> (31G eller 32G; 4 mm, 5 mm eller 8 mm).</w:t>
      </w:r>
    </w:p>
    <w:p w14:paraId="6AE879FD" w14:textId="77777777" w:rsidR="00E31A6F" w:rsidRPr="009A4537" w:rsidRDefault="00E31A6F">
      <w:pPr>
        <w:suppressAutoHyphens/>
        <w:rPr>
          <w:szCs w:val="22"/>
          <w:lang w:val="sv-SE"/>
        </w:rPr>
      </w:pPr>
    </w:p>
    <w:p w14:paraId="739CBE5E" w14:textId="77777777" w:rsidR="00E31A6F" w:rsidRPr="009A4537" w:rsidRDefault="00E31A6F">
      <w:pPr>
        <w:suppressAutoHyphens/>
        <w:rPr>
          <w:szCs w:val="22"/>
          <w:lang w:val="sv-SE"/>
        </w:rPr>
      </w:pPr>
      <w:r w:rsidRPr="009A4537">
        <w:rPr>
          <w:szCs w:val="22"/>
          <w:lang w:val="sv-SE"/>
        </w:rPr>
        <w:t>Sondelbay ska inte användas om lösningen är grumlig, färgad eller innehåller partiklar.</w:t>
      </w:r>
    </w:p>
    <w:p w14:paraId="5F4005DF" w14:textId="77777777" w:rsidR="00E31A6F" w:rsidRPr="009A4537" w:rsidRDefault="00E31A6F">
      <w:pPr>
        <w:suppressAutoHyphens/>
        <w:rPr>
          <w:szCs w:val="22"/>
          <w:lang w:val="sv-SE"/>
        </w:rPr>
      </w:pPr>
    </w:p>
    <w:p w14:paraId="362E213E" w14:textId="77777777" w:rsidR="00156E1F" w:rsidRPr="009A4537" w:rsidRDefault="00156E1F">
      <w:pPr>
        <w:suppressAutoHyphens/>
        <w:rPr>
          <w:szCs w:val="22"/>
          <w:lang w:val="sv-SE"/>
        </w:rPr>
      </w:pPr>
      <w:r w:rsidRPr="009A4537">
        <w:rPr>
          <w:szCs w:val="22"/>
          <w:lang w:val="sv-SE"/>
        </w:rPr>
        <w:t>Sondelbay</w:t>
      </w:r>
      <w:r w:rsidR="00D85DCD" w:rsidRPr="009A4537">
        <w:rPr>
          <w:szCs w:val="22"/>
          <w:lang w:val="sv-SE"/>
        </w:rPr>
        <w:t xml:space="preserve"> injektionsp</w:t>
      </w:r>
      <w:r w:rsidRPr="009A4537">
        <w:rPr>
          <w:szCs w:val="22"/>
          <w:lang w:val="sv-SE"/>
        </w:rPr>
        <w:t>enna ska läggas tillbaka i kylskåpet (2</w:t>
      </w:r>
      <w:r w:rsidRPr="009A4537">
        <w:rPr>
          <w:szCs w:val="22"/>
          <w:lang w:val="sv-SE"/>
        </w:rPr>
        <w:noBreakHyphen/>
        <w:t xml:space="preserve">8º C) omedelbart efter användning. Sätt tillbaka </w:t>
      </w:r>
      <w:r w:rsidR="000620AF" w:rsidRPr="009A4537">
        <w:rPr>
          <w:szCs w:val="22"/>
          <w:lang w:val="sv-SE"/>
        </w:rPr>
        <w:t>skyddshatten</w:t>
      </w:r>
      <w:r w:rsidRPr="009A4537">
        <w:rPr>
          <w:szCs w:val="22"/>
          <w:lang w:val="sv-SE"/>
        </w:rPr>
        <w:t xml:space="preserve"> på </w:t>
      </w:r>
      <w:r w:rsidR="00D85DCD" w:rsidRPr="009A4537">
        <w:rPr>
          <w:szCs w:val="22"/>
          <w:lang w:val="sv-SE"/>
        </w:rPr>
        <w:t>injektions</w:t>
      </w:r>
      <w:r w:rsidRPr="009A4537">
        <w:rPr>
          <w:szCs w:val="22"/>
          <w:lang w:val="sv-SE"/>
        </w:rPr>
        <w:t>pennan när den inte används för att skydda cylinderampullen mot fysisk skada och ljus.</w:t>
      </w:r>
    </w:p>
    <w:p w14:paraId="22BE0A36" w14:textId="77777777" w:rsidR="00156E1F" w:rsidRPr="009A4537" w:rsidRDefault="00E31A6F">
      <w:pPr>
        <w:suppressAutoHyphens/>
        <w:rPr>
          <w:szCs w:val="22"/>
          <w:lang w:val="sv-SE"/>
        </w:rPr>
      </w:pPr>
      <w:r w:rsidRPr="009A4537">
        <w:rPr>
          <w:szCs w:val="22"/>
          <w:lang w:val="sv-SE"/>
        </w:rPr>
        <w:t>Använd inte Sondelbay är den är eller har varit frusen.</w:t>
      </w:r>
    </w:p>
    <w:p w14:paraId="6F9A866B" w14:textId="77777777" w:rsidR="00E31A6F" w:rsidRPr="009A4537" w:rsidRDefault="00E31A6F">
      <w:pPr>
        <w:suppressAutoHyphens/>
        <w:rPr>
          <w:szCs w:val="22"/>
          <w:lang w:val="sv-SE"/>
        </w:rPr>
      </w:pPr>
    </w:p>
    <w:p w14:paraId="162397AE" w14:textId="77777777" w:rsidR="00E31A6F" w:rsidRPr="009A4537" w:rsidRDefault="00E31A6F">
      <w:pPr>
        <w:suppressAutoHyphens/>
        <w:rPr>
          <w:szCs w:val="22"/>
          <w:lang w:val="sv-SE"/>
        </w:rPr>
      </w:pPr>
      <w:r w:rsidRPr="009A4537">
        <w:rPr>
          <w:szCs w:val="22"/>
          <w:lang w:val="sv-SE"/>
        </w:rPr>
        <w:t>Överför inte läkemedlet till en spruta.</w:t>
      </w:r>
    </w:p>
    <w:p w14:paraId="6E7EBBC2" w14:textId="77777777" w:rsidR="00E31A6F" w:rsidRPr="009A4537" w:rsidRDefault="00E31A6F">
      <w:pPr>
        <w:suppressAutoHyphens/>
        <w:rPr>
          <w:szCs w:val="22"/>
          <w:lang w:val="sv-SE"/>
        </w:rPr>
      </w:pPr>
    </w:p>
    <w:p w14:paraId="0EF6019B" w14:textId="77777777" w:rsidR="00AF6C84" w:rsidRPr="009A4537" w:rsidRDefault="00AF6C84">
      <w:pPr>
        <w:suppressAutoHyphens/>
        <w:rPr>
          <w:szCs w:val="22"/>
          <w:lang w:val="sv-SE"/>
        </w:rPr>
      </w:pPr>
      <w:r w:rsidRPr="009A4537">
        <w:rPr>
          <w:szCs w:val="22"/>
          <w:lang w:val="sv-SE"/>
        </w:rPr>
        <w:t xml:space="preserve">Förvara inte den förfyllda </w:t>
      </w:r>
      <w:r w:rsidR="002D68A7" w:rsidRPr="009A4537">
        <w:rPr>
          <w:szCs w:val="22"/>
          <w:lang w:val="sv-SE"/>
        </w:rPr>
        <w:t>injektions</w:t>
      </w:r>
      <w:r w:rsidRPr="009A4537">
        <w:rPr>
          <w:szCs w:val="22"/>
          <w:lang w:val="sv-SE"/>
        </w:rPr>
        <w:t xml:space="preserve">pennan med </w:t>
      </w:r>
      <w:r w:rsidR="009F013B" w:rsidRPr="009A4537">
        <w:rPr>
          <w:szCs w:val="22"/>
          <w:lang w:val="sv-SE"/>
        </w:rPr>
        <w:t>injektions</w:t>
      </w:r>
      <w:r w:rsidRPr="009A4537">
        <w:rPr>
          <w:szCs w:val="22"/>
          <w:lang w:val="sv-SE"/>
        </w:rPr>
        <w:t xml:space="preserve">nålen </w:t>
      </w:r>
      <w:r w:rsidR="00D908FC" w:rsidRPr="009A4537">
        <w:rPr>
          <w:szCs w:val="22"/>
          <w:lang w:val="sv-SE"/>
        </w:rPr>
        <w:t>påsatt</w:t>
      </w:r>
      <w:r w:rsidRPr="009A4537">
        <w:rPr>
          <w:szCs w:val="22"/>
          <w:lang w:val="sv-SE"/>
        </w:rPr>
        <w:t>.</w:t>
      </w:r>
    </w:p>
    <w:p w14:paraId="0EA8622A" w14:textId="77777777" w:rsidR="00AF6C84" w:rsidRPr="009A4537" w:rsidRDefault="00AF6C84">
      <w:pPr>
        <w:suppressAutoHyphens/>
        <w:rPr>
          <w:szCs w:val="22"/>
          <w:lang w:val="sv-SE"/>
        </w:rPr>
      </w:pPr>
    </w:p>
    <w:p w14:paraId="6CCAAA57" w14:textId="77777777" w:rsidR="00AF6C84" w:rsidRPr="009A4537" w:rsidRDefault="00AF6C84">
      <w:pPr>
        <w:suppressAutoHyphens/>
        <w:rPr>
          <w:szCs w:val="22"/>
          <w:lang w:val="sv-SE"/>
        </w:rPr>
      </w:pPr>
      <w:r w:rsidRPr="009A4537">
        <w:rPr>
          <w:szCs w:val="22"/>
          <w:lang w:val="sv-SE"/>
        </w:rPr>
        <w:t xml:space="preserve">Datum för den första injektionen ska antecknas på Sondelbays ytterkartong (se </w:t>
      </w:r>
      <w:r w:rsidR="005B408C" w:rsidRPr="009A4537">
        <w:rPr>
          <w:szCs w:val="22"/>
          <w:lang w:val="sv-SE"/>
        </w:rPr>
        <w:t>utrymmet</w:t>
      </w:r>
      <w:r w:rsidRPr="009A4537">
        <w:rPr>
          <w:szCs w:val="22"/>
          <w:lang w:val="sv-SE"/>
        </w:rPr>
        <w:t>:</w:t>
      </w:r>
      <w:r w:rsidR="008E09BA" w:rsidRPr="009A4537">
        <w:rPr>
          <w:szCs w:val="22"/>
          <w:lang w:val="sv-SE"/>
        </w:rPr>
        <w:t xml:space="preserve"> Första användningsdag (datum)</w:t>
      </w:r>
      <w:r w:rsidRPr="009A4537">
        <w:rPr>
          <w:szCs w:val="22"/>
          <w:lang w:val="sv-SE"/>
        </w:rPr>
        <w:t>).</w:t>
      </w:r>
    </w:p>
    <w:p w14:paraId="35F5B794" w14:textId="77777777" w:rsidR="00AF6C84" w:rsidRPr="009A4537" w:rsidRDefault="00AF6C84">
      <w:pPr>
        <w:suppressAutoHyphens/>
        <w:rPr>
          <w:szCs w:val="22"/>
          <w:lang w:val="sv-SE"/>
        </w:rPr>
      </w:pPr>
    </w:p>
    <w:p w14:paraId="2E9078DE" w14:textId="77777777" w:rsidR="00AF6C84" w:rsidRPr="009A4537" w:rsidRDefault="00AF6C84">
      <w:pPr>
        <w:suppressAutoHyphens/>
        <w:rPr>
          <w:szCs w:val="22"/>
          <w:lang w:val="sv-SE"/>
        </w:rPr>
      </w:pPr>
      <w:r w:rsidRPr="009A4537">
        <w:rPr>
          <w:szCs w:val="22"/>
          <w:lang w:val="sv-SE"/>
        </w:rPr>
        <w:t xml:space="preserve">Se även bruksanvisningen om hur </w:t>
      </w:r>
      <w:r w:rsidR="00D85DCD" w:rsidRPr="009A4537">
        <w:rPr>
          <w:szCs w:val="22"/>
          <w:lang w:val="sv-SE"/>
        </w:rPr>
        <w:t>injektions</w:t>
      </w:r>
      <w:r w:rsidRPr="009A4537">
        <w:rPr>
          <w:szCs w:val="22"/>
          <w:lang w:val="sv-SE"/>
        </w:rPr>
        <w:t>pennan används.</w:t>
      </w:r>
    </w:p>
    <w:p w14:paraId="777996CA" w14:textId="77777777" w:rsidR="00AF6C84" w:rsidRPr="009A4537" w:rsidRDefault="00AF6C84">
      <w:pPr>
        <w:suppressAutoHyphens/>
        <w:rPr>
          <w:szCs w:val="22"/>
          <w:lang w:val="sv-SE"/>
        </w:rPr>
      </w:pPr>
    </w:p>
    <w:p w14:paraId="0E9AC1CA" w14:textId="77777777" w:rsidR="00AF6C84" w:rsidRPr="009A4537" w:rsidRDefault="00AF6C84">
      <w:pPr>
        <w:suppressAutoHyphens/>
        <w:rPr>
          <w:szCs w:val="22"/>
          <w:u w:val="single"/>
          <w:lang w:val="sv-SE"/>
        </w:rPr>
      </w:pPr>
      <w:r w:rsidRPr="009A4537">
        <w:rPr>
          <w:szCs w:val="22"/>
          <w:u w:val="single"/>
          <w:lang w:val="sv-SE"/>
        </w:rPr>
        <w:t>Kassering</w:t>
      </w:r>
    </w:p>
    <w:p w14:paraId="62092657" w14:textId="77777777" w:rsidR="00AF6C84" w:rsidRPr="009A4537" w:rsidRDefault="00AF6C84">
      <w:pPr>
        <w:suppressAutoHyphens/>
        <w:rPr>
          <w:szCs w:val="22"/>
          <w:u w:val="single"/>
          <w:lang w:val="sv-SE"/>
        </w:rPr>
      </w:pPr>
    </w:p>
    <w:p w14:paraId="1410CE25" w14:textId="77777777" w:rsidR="00AF6C84" w:rsidRPr="009A4537" w:rsidRDefault="00AF6C84">
      <w:pPr>
        <w:suppressAutoHyphens/>
        <w:rPr>
          <w:szCs w:val="22"/>
          <w:lang w:val="sv-SE"/>
        </w:rPr>
      </w:pPr>
      <w:r w:rsidRPr="009A4537">
        <w:rPr>
          <w:lang w:val="sv-SE"/>
        </w:rPr>
        <w:t>Ej använt läkemedel och avfall ska kasseras enligt gällande anvisningar.</w:t>
      </w:r>
    </w:p>
    <w:p w14:paraId="63C1228D" w14:textId="77777777" w:rsidR="00FD3E90" w:rsidRPr="009A4537" w:rsidRDefault="00FD3E90">
      <w:pPr>
        <w:suppressAutoHyphens/>
        <w:rPr>
          <w:szCs w:val="22"/>
          <w:lang w:val="sv-SE"/>
        </w:rPr>
      </w:pPr>
    </w:p>
    <w:p w14:paraId="03577582" w14:textId="77777777" w:rsidR="00FD3E90" w:rsidRPr="009A4537" w:rsidRDefault="00FD3E90">
      <w:pPr>
        <w:suppressAutoHyphens/>
        <w:rPr>
          <w:szCs w:val="22"/>
          <w:lang w:val="sv-SE"/>
        </w:rPr>
      </w:pPr>
    </w:p>
    <w:p w14:paraId="4D43C07C" w14:textId="77777777" w:rsidR="00FD3E90" w:rsidRPr="009A4537" w:rsidRDefault="00FD3E90">
      <w:pPr>
        <w:suppressAutoHyphens/>
        <w:ind w:left="567" w:hanging="567"/>
        <w:rPr>
          <w:szCs w:val="22"/>
          <w:lang w:val="sv-SE"/>
        </w:rPr>
      </w:pPr>
      <w:r w:rsidRPr="009A4537">
        <w:rPr>
          <w:b/>
          <w:szCs w:val="22"/>
          <w:lang w:val="sv-SE"/>
        </w:rPr>
        <w:t>7.</w:t>
      </w:r>
      <w:r w:rsidRPr="009A4537">
        <w:rPr>
          <w:b/>
          <w:szCs w:val="22"/>
          <w:lang w:val="sv-SE"/>
        </w:rPr>
        <w:tab/>
        <w:t>INNEHAVARE AV GODKÄNNANDE FÖR FÖRSÄLJNING</w:t>
      </w:r>
    </w:p>
    <w:p w14:paraId="3B3C4118" w14:textId="77777777" w:rsidR="00FD3E90" w:rsidRPr="009A4537" w:rsidRDefault="00FD3E90">
      <w:pPr>
        <w:suppressAutoHyphens/>
        <w:rPr>
          <w:szCs w:val="22"/>
          <w:lang w:val="sv-SE"/>
        </w:rPr>
      </w:pPr>
    </w:p>
    <w:p w14:paraId="119A0CB7" w14:textId="77777777" w:rsidR="00AF6C84" w:rsidRPr="009A4537" w:rsidRDefault="00AF6C84" w:rsidP="00AF6C84">
      <w:pPr>
        <w:rPr>
          <w:szCs w:val="22"/>
          <w:lang w:val="sv-SE"/>
        </w:rPr>
      </w:pPr>
      <w:r w:rsidRPr="009A4537">
        <w:rPr>
          <w:szCs w:val="22"/>
          <w:lang w:val="sv-SE"/>
        </w:rPr>
        <w:lastRenderedPageBreak/>
        <w:t xml:space="preserve">Accord Healthcare S.L.U. </w:t>
      </w:r>
    </w:p>
    <w:p w14:paraId="5DE67789" w14:textId="77777777" w:rsidR="00AF6C84" w:rsidRPr="0001477B" w:rsidRDefault="00AF6C84" w:rsidP="00AF6C84">
      <w:pPr>
        <w:rPr>
          <w:szCs w:val="22"/>
          <w:lang w:val="en-GB"/>
        </w:rPr>
      </w:pPr>
      <w:r w:rsidRPr="0001477B">
        <w:rPr>
          <w:szCs w:val="22"/>
          <w:lang w:val="en-GB"/>
        </w:rPr>
        <w:t xml:space="preserve">World Trade Centre, Moll de Barcelona s/n, </w:t>
      </w:r>
    </w:p>
    <w:p w14:paraId="6D849F4E" w14:textId="77777777" w:rsidR="00AF6C84" w:rsidRPr="0001477B" w:rsidRDefault="00AF6C84" w:rsidP="00AF6C84">
      <w:pPr>
        <w:rPr>
          <w:szCs w:val="22"/>
          <w:lang w:val="en-GB"/>
        </w:rPr>
      </w:pPr>
      <w:proofErr w:type="spellStart"/>
      <w:r w:rsidRPr="0001477B">
        <w:rPr>
          <w:szCs w:val="22"/>
          <w:lang w:val="en-GB"/>
        </w:rPr>
        <w:t>Edifici</w:t>
      </w:r>
      <w:proofErr w:type="spellEnd"/>
      <w:r w:rsidRPr="0001477B">
        <w:rPr>
          <w:szCs w:val="22"/>
          <w:lang w:val="en-GB"/>
        </w:rPr>
        <w:t xml:space="preserve"> Est, </w:t>
      </w:r>
      <w:r w:rsidRPr="0001477B">
        <w:rPr>
          <w:rFonts w:eastAsia="SimSun"/>
          <w:szCs w:val="22"/>
          <w:lang w:val="en-GB"/>
        </w:rPr>
        <w:t>6</w:t>
      </w:r>
      <w:proofErr w:type="gramStart"/>
      <w:r w:rsidRPr="0001477B">
        <w:rPr>
          <w:rFonts w:eastAsia="SimSun"/>
          <w:szCs w:val="22"/>
          <w:lang w:val="en-GB"/>
        </w:rPr>
        <w:t xml:space="preserve">ª </w:t>
      </w:r>
      <w:r w:rsidRPr="0001477B">
        <w:rPr>
          <w:szCs w:val="22"/>
          <w:lang w:val="en-GB"/>
        </w:rPr>
        <w:t xml:space="preserve"> Planta</w:t>
      </w:r>
      <w:proofErr w:type="gramEnd"/>
      <w:r w:rsidRPr="0001477B">
        <w:rPr>
          <w:szCs w:val="22"/>
          <w:lang w:val="en-GB"/>
        </w:rPr>
        <w:t>,</w:t>
      </w:r>
    </w:p>
    <w:p w14:paraId="13E059B1" w14:textId="77777777" w:rsidR="00AF6C84" w:rsidRPr="0001477B" w:rsidRDefault="00DD6348" w:rsidP="00AF6C84">
      <w:pPr>
        <w:rPr>
          <w:szCs w:val="22"/>
          <w:lang w:val="en-GB"/>
        </w:rPr>
      </w:pPr>
      <w:r w:rsidRPr="0001477B">
        <w:rPr>
          <w:szCs w:val="22"/>
          <w:lang w:val="en-GB"/>
        </w:rPr>
        <w:t xml:space="preserve">08039, </w:t>
      </w:r>
      <w:r w:rsidR="00AF6C84" w:rsidRPr="0001477B">
        <w:rPr>
          <w:szCs w:val="22"/>
          <w:lang w:val="en-GB"/>
        </w:rPr>
        <w:t xml:space="preserve">Barcelona, </w:t>
      </w:r>
      <w:proofErr w:type="spellStart"/>
      <w:r w:rsidR="00AF6C84" w:rsidRPr="0001477B">
        <w:rPr>
          <w:szCs w:val="22"/>
          <w:lang w:val="en-GB"/>
        </w:rPr>
        <w:t>Spa</w:t>
      </w:r>
      <w:r w:rsidR="005B408C" w:rsidRPr="0001477B">
        <w:rPr>
          <w:szCs w:val="22"/>
          <w:lang w:val="en-GB"/>
        </w:rPr>
        <w:t>nien</w:t>
      </w:r>
      <w:proofErr w:type="spellEnd"/>
    </w:p>
    <w:p w14:paraId="20DD9393" w14:textId="77777777" w:rsidR="00FD3E90" w:rsidRPr="0001477B" w:rsidRDefault="00FD3E90">
      <w:pPr>
        <w:suppressAutoHyphens/>
        <w:rPr>
          <w:szCs w:val="22"/>
          <w:lang w:val="en-GB"/>
        </w:rPr>
      </w:pPr>
    </w:p>
    <w:p w14:paraId="6F7331AF" w14:textId="77777777" w:rsidR="00FD3E90" w:rsidRPr="0001477B" w:rsidRDefault="00FD3E90">
      <w:pPr>
        <w:suppressAutoHyphens/>
        <w:rPr>
          <w:szCs w:val="22"/>
          <w:lang w:val="en-GB"/>
        </w:rPr>
      </w:pPr>
    </w:p>
    <w:p w14:paraId="31460B20" w14:textId="77777777" w:rsidR="00FD3E90" w:rsidRPr="009A4537" w:rsidRDefault="00FD3E90" w:rsidP="00C23A18">
      <w:pPr>
        <w:keepNext/>
        <w:suppressAutoHyphens/>
        <w:ind w:left="567" w:hanging="567"/>
        <w:rPr>
          <w:szCs w:val="22"/>
          <w:lang w:val="sv-SE"/>
        </w:rPr>
      </w:pPr>
      <w:r w:rsidRPr="009A4537">
        <w:rPr>
          <w:b/>
          <w:szCs w:val="22"/>
          <w:lang w:val="sv-SE"/>
        </w:rPr>
        <w:t>8.</w:t>
      </w:r>
      <w:r w:rsidRPr="009A4537">
        <w:rPr>
          <w:b/>
          <w:szCs w:val="22"/>
          <w:lang w:val="sv-SE"/>
        </w:rPr>
        <w:tab/>
        <w:t>NUMMER PÅ GODKÄNNANDE FÖR FÖRSÄLJNING</w:t>
      </w:r>
    </w:p>
    <w:p w14:paraId="67258A89" w14:textId="77777777" w:rsidR="00FD3E90" w:rsidRPr="009A4537" w:rsidRDefault="00FD3E90" w:rsidP="00C23A18">
      <w:pPr>
        <w:keepNext/>
        <w:suppressAutoHyphens/>
        <w:rPr>
          <w:szCs w:val="22"/>
          <w:lang w:val="sv-SE"/>
        </w:rPr>
      </w:pPr>
    </w:p>
    <w:p w14:paraId="2640A7A7" w14:textId="77777777" w:rsidR="008E3DAE" w:rsidRPr="009A4537" w:rsidRDefault="008E3DAE" w:rsidP="008E3DAE">
      <w:pPr>
        <w:rPr>
          <w:szCs w:val="22"/>
          <w:lang w:val="sv-SE"/>
        </w:rPr>
      </w:pPr>
      <w:r w:rsidRPr="009A4537">
        <w:rPr>
          <w:szCs w:val="22"/>
          <w:lang w:val="sv-SE"/>
        </w:rPr>
        <w:t>EU/1/22/1628/001</w:t>
      </w:r>
    </w:p>
    <w:p w14:paraId="196C6B24" w14:textId="77777777" w:rsidR="008E3DAE" w:rsidRPr="009A4537" w:rsidRDefault="008E3DAE" w:rsidP="008E3DAE">
      <w:pPr>
        <w:rPr>
          <w:szCs w:val="22"/>
          <w:lang w:val="sv-SE"/>
        </w:rPr>
      </w:pPr>
      <w:r w:rsidRPr="009A4537">
        <w:rPr>
          <w:szCs w:val="22"/>
          <w:lang w:val="sv-SE"/>
        </w:rPr>
        <w:t>EU/1/22/1628/002</w:t>
      </w:r>
    </w:p>
    <w:p w14:paraId="6F5703C4" w14:textId="77777777" w:rsidR="00FD3E90" w:rsidRPr="009A4537" w:rsidRDefault="00FD3E90">
      <w:pPr>
        <w:suppressAutoHyphens/>
        <w:rPr>
          <w:szCs w:val="22"/>
          <w:lang w:val="sv-SE"/>
        </w:rPr>
      </w:pPr>
    </w:p>
    <w:p w14:paraId="78385F2D" w14:textId="77777777" w:rsidR="00FD3E90" w:rsidRPr="009A4537" w:rsidRDefault="00FD3E90">
      <w:pPr>
        <w:suppressAutoHyphens/>
        <w:rPr>
          <w:szCs w:val="22"/>
          <w:lang w:val="sv-SE"/>
        </w:rPr>
      </w:pPr>
    </w:p>
    <w:p w14:paraId="25A82D9F" w14:textId="77777777" w:rsidR="00FD3E90" w:rsidRPr="009A4537" w:rsidRDefault="00FD3E90" w:rsidP="00DA1977">
      <w:pPr>
        <w:keepNext/>
        <w:suppressAutoHyphens/>
        <w:ind w:left="567" w:hanging="567"/>
        <w:rPr>
          <w:szCs w:val="22"/>
          <w:lang w:val="sv-SE"/>
        </w:rPr>
      </w:pPr>
      <w:r w:rsidRPr="009A4537">
        <w:rPr>
          <w:b/>
          <w:szCs w:val="22"/>
          <w:lang w:val="sv-SE"/>
        </w:rPr>
        <w:t>9.</w:t>
      </w:r>
      <w:r w:rsidRPr="009A4537">
        <w:rPr>
          <w:b/>
          <w:szCs w:val="22"/>
          <w:lang w:val="sv-SE"/>
        </w:rPr>
        <w:tab/>
        <w:t>DATUM FÖR FÖRSTA GODKÄNNANDE/FÖRNYAT GODKÄNNANDE</w:t>
      </w:r>
    </w:p>
    <w:p w14:paraId="3FEAF25F" w14:textId="77777777" w:rsidR="00FD3E90" w:rsidRPr="009A4537" w:rsidRDefault="00FD3E90" w:rsidP="00DA1977">
      <w:pPr>
        <w:keepNext/>
        <w:suppressAutoHyphens/>
        <w:rPr>
          <w:szCs w:val="22"/>
          <w:lang w:val="sv-SE"/>
        </w:rPr>
      </w:pPr>
    </w:p>
    <w:p w14:paraId="3360F689" w14:textId="77777777" w:rsidR="00B7621A" w:rsidRPr="009A4537" w:rsidRDefault="00FD3E90" w:rsidP="00AF6C84">
      <w:pPr>
        <w:keepNext/>
        <w:suppressAutoHyphens/>
        <w:rPr>
          <w:szCs w:val="22"/>
          <w:lang w:val="sv-SE"/>
        </w:rPr>
      </w:pPr>
      <w:r w:rsidRPr="009A4537">
        <w:rPr>
          <w:szCs w:val="22"/>
          <w:lang w:val="sv-SE"/>
        </w:rPr>
        <w:t xml:space="preserve">Datum för </w:t>
      </w:r>
      <w:r w:rsidR="00D265FE" w:rsidRPr="009A4537">
        <w:rPr>
          <w:szCs w:val="22"/>
          <w:lang w:val="sv-SE"/>
        </w:rPr>
        <w:t xml:space="preserve">det </w:t>
      </w:r>
      <w:r w:rsidRPr="009A4537">
        <w:rPr>
          <w:szCs w:val="22"/>
          <w:lang w:val="sv-SE"/>
        </w:rPr>
        <w:t>första godkännande</w:t>
      </w:r>
      <w:r w:rsidR="00D265FE" w:rsidRPr="009A4537">
        <w:rPr>
          <w:szCs w:val="22"/>
          <w:lang w:val="sv-SE"/>
        </w:rPr>
        <w:t>t</w:t>
      </w:r>
      <w:r w:rsidRPr="009A4537">
        <w:rPr>
          <w:szCs w:val="22"/>
          <w:lang w:val="sv-SE"/>
        </w:rPr>
        <w:t xml:space="preserve">: </w:t>
      </w:r>
      <w:r w:rsidR="00873257" w:rsidRPr="009A4537">
        <w:rPr>
          <w:szCs w:val="22"/>
          <w:lang w:val="sv-SE"/>
        </w:rPr>
        <w:t>24 mars 2022</w:t>
      </w:r>
    </w:p>
    <w:p w14:paraId="29DEBF4F" w14:textId="77777777" w:rsidR="00FD3E90" w:rsidRPr="009A4537" w:rsidRDefault="00FD3E90" w:rsidP="006A67C8">
      <w:pPr>
        <w:suppressAutoHyphens/>
        <w:rPr>
          <w:b/>
          <w:sz w:val="16"/>
          <w:szCs w:val="16"/>
          <w:lang w:val="sv-SE"/>
        </w:rPr>
      </w:pPr>
    </w:p>
    <w:p w14:paraId="615E15DC" w14:textId="77777777" w:rsidR="007717A1" w:rsidRPr="009A4537" w:rsidRDefault="007717A1">
      <w:pPr>
        <w:suppressAutoHyphens/>
        <w:ind w:left="567" w:hanging="567"/>
        <w:rPr>
          <w:b/>
          <w:sz w:val="16"/>
          <w:szCs w:val="16"/>
          <w:lang w:val="sv-SE"/>
        </w:rPr>
      </w:pPr>
    </w:p>
    <w:p w14:paraId="717982CB" w14:textId="77777777" w:rsidR="00FD3E90" w:rsidRPr="009A4537" w:rsidRDefault="00FD3E90">
      <w:pPr>
        <w:suppressAutoHyphens/>
        <w:ind w:left="567" w:hanging="567"/>
        <w:rPr>
          <w:szCs w:val="22"/>
          <w:lang w:val="sv-SE"/>
        </w:rPr>
      </w:pPr>
      <w:r w:rsidRPr="009A4537">
        <w:rPr>
          <w:b/>
          <w:szCs w:val="22"/>
          <w:lang w:val="sv-SE"/>
        </w:rPr>
        <w:t>10.</w:t>
      </w:r>
      <w:r w:rsidRPr="009A4537">
        <w:rPr>
          <w:b/>
          <w:szCs w:val="22"/>
          <w:lang w:val="sv-SE"/>
        </w:rPr>
        <w:tab/>
        <w:t>DATUM FÖR ÖVERSYN AV PRODUKTRESUMÉN</w:t>
      </w:r>
    </w:p>
    <w:p w14:paraId="5D9B98D6" w14:textId="0D907542" w:rsidR="00D265FE" w:rsidRDefault="008A4518" w:rsidP="008A4518">
      <w:pPr>
        <w:ind w:right="1416"/>
        <w:outlineLvl w:val="0"/>
        <w:rPr>
          <w:szCs w:val="22"/>
          <w:lang w:val="sv-SE"/>
        </w:rPr>
      </w:pPr>
      <w:r>
        <w:rPr>
          <w:szCs w:val="22"/>
          <w:lang w:val="sv-SE"/>
        </w:rPr>
        <w:t>24.03.2022</w:t>
      </w:r>
    </w:p>
    <w:p w14:paraId="64227077" w14:textId="77777777" w:rsidR="008A4518" w:rsidRPr="009A4537" w:rsidRDefault="008A4518">
      <w:pPr>
        <w:ind w:right="1416"/>
        <w:jc w:val="center"/>
        <w:outlineLvl w:val="0"/>
        <w:rPr>
          <w:szCs w:val="22"/>
          <w:lang w:val="sv-SE"/>
        </w:rPr>
      </w:pPr>
    </w:p>
    <w:p w14:paraId="35432395" w14:textId="3455ACC9" w:rsidR="00FD3E90" w:rsidRPr="009A4537" w:rsidRDefault="00D265FE" w:rsidP="00592FDC">
      <w:pPr>
        <w:ind w:right="1416"/>
        <w:outlineLvl w:val="0"/>
        <w:rPr>
          <w:szCs w:val="22"/>
          <w:lang w:val="sv-SE"/>
        </w:rPr>
      </w:pPr>
      <w:r w:rsidRPr="009A4537">
        <w:rPr>
          <w:szCs w:val="22"/>
          <w:lang w:val="sv-SE"/>
        </w:rPr>
        <w:t>Ytterligare information om detta läkemedel finns på Europeiska läkemedelsmyndighetens webbplats http://www.ema.europa.eu.</w:t>
      </w:r>
    </w:p>
    <w:sectPr w:rsidR="00FD3E90" w:rsidRPr="009A4537" w:rsidSect="00746F95">
      <w:footerReference w:type="even" r:id="rId14"/>
      <w:footerReference w:type="default" r:id="rId15"/>
      <w:pgSz w:w="12240" w:h="15840" w:code="1"/>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3E25" w14:textId="77777777" w:rsidR="006B6E50" w:rsidRDefault="006B6E50">
      <w:r>
        <w:separator/>
      </w:r>
    </w:p>
  </w:endnote>
  <w:endnote w:type="continuationSeparator" w:id="0">
    <w:p w14:paraId="3D146BD4" w14:textId="77777777" w:rsidR="006B6E50" w:rsidRDefault="006B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MT Extra Bold">
    <w:altName w:val="Bernard MT Condensed"/>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77F5" w14:textId="77777777" w:rsidR="001E3BA5" w:rsidRDefault="001E3B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7DD74" w14:textId="77777777" w:rsidR="001E3BA5" w:rsidRDefault="001E3B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45C6" w14:textId="77777777" w:rsidR="001E3BA5" w:rsidRDefault="001E3BA5">
    <w:pPr>
      <w:pStyle w:val="Footer"/>
      <w:framePr w:wrap="around" w:vAnchor="text" w:hAnchor="page" w:x="6022" w:y="91"/>
      <w:jc w:val="center"/>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D67669">
      <w:rPr>
        <w:rStyle w:val="PageNumber"/>
        <w:rFonts w:ascii="Arial" w:hAnsi="Arial" w:cs="Arial"/>
        <w:noProof/>
        <w:sz w:val="16"/>
      </w:rPr>
      <w:t>21</w:t>
    </w:r>
    <w:r>
      <w:rPr>
        <w:rStyle w:val="PageNumber"/>
        <w:rFonts w:ascii="Arial" w:hAnsi="Arial" w:cs="Arial"/>
        <w:sz w:val="16"/>
      </w:rPr>
      <w:fldChar w:fldCharType="end"/>
    </w:r>
  </w:p>
  <w:p w14:paraId="783A9677" w14:textId="77777777" w:rsidR="001E3BA5" w:rsidRDefault="001E3B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5A0D" w14:textId="77777777" w:rsidR="006B6E50" w:rsidRDefault="006B6E50">
      <w:r>
        <w:separator/>
      </w:r>
    </w:p>
  </w:footnote>
  <w:footnote w:type="continuationSeparator" w:id="0">
    <w:p w14:paraId="19C325C8" w14:textId="77777777" w:rsidR="006B6E50" w:rsidRDefault="006B6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169532645" o:spid="_x0000_i1025" type="#_x0000_t75" alt="BT_1000x858px" style="width:15.75pt;height:13.5pt;visibility:visible;mso-wrap-style:square" o:bullet="t">
        <v:imagedata r:id="rId1" o:title="BT_1000x858px"/>
      </v:shape>
    </w:pict>
  </w:numPicBullet>
  <w:abstractNum w:abstractNumId="0" w15:restartNumberingAfterBreak="0">
    <w:nsid w:val="FFFFFF7C"/>
    <w:multiLevelType w:val="singleLevel"/>
    <w:tmpl w:val="2E5C01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E0ED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AA3A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9EB1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FC043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82D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C00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A488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CAF8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5D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E62620"/>
    <w:multiLevelType w:val="hybridMultilevel"/>
    <w:tmpl w:val="ACE8B2C0"/>
    <w:lvl w:ilvl="0" w:tplc="FFFFFFFF">
      <w:start w:val="1"/>
      <w:numFmt w:val="bullet"/>
      <w:lvlText w:val="-"/>
      <w:lvlJc w:val="left"/>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290BB2"/>
    <w:multiLevelType w:val="hybridMultilevel"/>
    <w:tmpl w:val="C878590A"/>
    <w:lvl w:ilvl="0" w:tplc="FFFFFFFF">
      <w:start w:val="1"/>
      <w:numFmt w:val="bullet"/>
      <w:lvlText w:val=""/>
      <w:lvlJc w:val="left"/>
      <w:pPr>
        <w:tabs>
          <w:tab w:val="num" w:pos="1623"/>
        </w:tabs>
        <w:ind w:left="162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0A4407"/>
    <w:multiLevelType w:val="hybridMultilevel"/>
    <w:tmpl w:val="168A2E52"/>
    <w:lvl w:ilvl="0" w:tplc="FFFFFFFF">
      <w:start w:val="17"/>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8" w15:restartNumberingAfterBreak="0">
    <w:nsid w:val="17D454C0"/>
    <w:multiLevelType w:val="hybridMultilevel"/>
    <w:tmpl w:val="199E15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92731E8"/>
    <w:multiLevelType w:val="hybridMultilevel"/>
    <w:tmpl w:val="7AEC20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21952"/>
    <w:multiLevelType w:val="multilevel"/>
    <w:tmpl w:val="34C603FA"/>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B152693"/>
    <w:multiLevelType w:val="hybridMultilevel"/>
    <w:tmpl w:val="0598196C"/>
    <w:lvl w:ilvl="0" w:tplc="A290DB42">
      <w:start w:val="1"/>
      <w:numFmt w:val="bullet"/>
      <w:lvlText w:val=""/>
      <w:lvlPicBulletId w:val="0"/>
      <w:lvlJc w:val="left"/>
      <w:pPr>
        <w:tabs>
          <w:tab w:val="num" w:pos="720"/>
        </w:tabs>
        <w:ind w:left="720" w:hanging="360"/>
      </w:pPr>
      <w:rPr>
        <w:rFonts w:ascii="Symbol" w:hAnsi="Symbol" w:hint="default"/>
      </w:rPr>
    </w:lvl>
    <w:lvl w:ilvl="1" w:tplc="F17E18E2" w:tentative="1">
      <w:start w:val="1"/>
      <w:numFmt w:val="bullet"/>
      <w:lvlText w:val=""/>
      <w:lvlJc w:val="left"/>
      <w:pPr>
        <w:tabs>
          <w:tab w:val="num" w:pos="1440"/>
        </w:tabs>
        <w:ind w:left="1440" w:hanging="360"/>
      </w:pPr>
      <w:rPr>
        <w:rFonts w:ascii="Symbol" w:hAnsi="Symbol" w:hint="default"/>
      </w:rPr>
    </w:lvl>
    <w:lvl w:ilvl="2" w:tplc="05F60B8C" w:tentative="1">
      <w:start w:val="1"/>
      <w:numFmt w:val="bullet"/>
      <w:lvlText w:val=""/>
      <w:lvlJc w:val="left"/>
      <w:pPr>
        <w:tabs>
          <w:tab w:val="num" w:pos="2160"/>
        </w:tabs>
        <w:ind w:left="2160" w:hanging="360"/>
      </w:pPr>
      <w:rPr>
        <w:rFonts w:ascii="Symbol" w:hAnsi="Symbol" w:hint="default"/>
      </w:rPr>
    </w:lvl>
    <w:lvl w:ilvl="3" w:tplc="5282CA80" w:tentative="1">
      <w:start w:val="1"/>
      <w:numFmt w:val="bullet"/>
      <w:lvlText w:val=""/>
      <w:lvlJc w:val="left"/>
      <w:pPr>
        <w:tabs>
          <w:tab w:val="num" w:pos="2880"/>
        </w:tabs>
        <w:ind w:left="2880" w:hanging="360"/>
      </w:pPr>
      <w:rPr>
        <w:rFonts w:ascii="Symbol" w:hAnsi="Symbol" w:hint="default"/>
      </w:rPr>
    </w:lvl>
    <w:lvl w:ilvl="4" w:tplc="2BE43894" w:tentative="1">
      <w:start w:val="1"/>
      <w:numFmt w:val="bullet"/>
      <w:lvlText w:val=""/>
      <w:lvlJc w:val="left"/>
      <w:pPr>
        <w:tabs>
          <w:tab w:val="num" w:pos="3600"/>
        </w:tabs>
        <w:ind w:left="3600" w:hanging="360"/>
      </w:pPr>
      <w:rPr>
        <w:rFonts w:ascii="Symbol" w:hAnsi="Symbol" w:hint="default"/>
      </w:rPr>
    </w:lvl>
    <w:lvl w:ilvl="5" w:tplc="D86402F8" w:tentative="1">
      <w:start w:val="1"/>
      <w:numFmt w:val="bullet"/>
      <w:lvlText w:val=""/>
      <w:lvlJc w:val="left"/>
      <w:pPr>
        <w:tabs>
          <w:tab w:val="num" w:pos="4320"/>
        </w:tabs>
        <w:ind w:left="4320" w:hanging="360"/>
      </w:pPr>
      <w:rPr>
        <w:rFonts w:ascii="Symbol" w:hAnsi="Symbol" w:hint="default"/>
      </w:rPr>
    </w:lvl>
    <w:lvl w:ilvl="6" w:tplc="417CC056" w:tentative="1">
      <w:start w:val="1"/>
      <w:numFmt w:val="bullet"/>
      <w:lvlText w:val=""/>
      <w:lvlJc w:val="left"/>
      <w:pPr>
        <w:tabs>
          <w:tab w:val="num" w:pos="5040"/>
        </w:tabs>
        <w:ind w:left="5040" w:hanging="360"/>
      </w:pPr>
      <w:rPr>
        <w:rFonts w:ascii="Symbol" w:hAnsi="Symbol" w:hint="default"/>
      </w:rPr>
    </w:lvl>
    <w:lvl w:ilvl="7" w:tplc="53FAF96C" w:tentative="1">
      <w:start w:val="1"/>
      <w:numFmt w:val="bullet"/>
      <w:lvlText w:val=""/>
      <w:lvlJc w:val="left"/>
      <w:pPr>
        <w:tabs>
          <w:tab w:val="num" w:pos="5760"/>
        </w:tabs>
        <w:ind w:left="5760" w:hanging="360"/>
      </w:pPr>
      <w:rPr>
        <w:rFonts w:ascii="Symbol" w:hAnsi="Symbol" w:hint="default"/>
      </w:rPr>
    </w:lvl>
    <w:lvl w:ilvl="8" w:tplc="6AD253A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1B553118"/>
    <w:multiLevelType w:val="hybridMultilevel"/>
    <w:tmpl w:val="3B0493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BE458A"/>
    <w:multiLevelType w:val="hybridMultilevel"/>
    <w:tmpl w:val="07EAFC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D37568"/>
    <w:multiLevelType w:val="hybridMultilevel"/>
    <w:tmpl w:val="FF144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26" w15:restartNumberingAfterBreak="0">
    <w:nsid w:val="285344A3"/>
    <w:multiLevelType w:val="hybridMultilevel"/>
    <w:tmpl w:val="E4DC6812"/>
    <w:lvl w:ilvl="0" w:tplc="FFFFFFFF">
      <w:start w:val="1"/>
      <w:numFmt w:val="bullet"/>
      <w:lvlText w:val="-"/>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9E26EB4"/>
    <w:multiLevelType w:val="singleLevel"/>
    <w:tmpl w:val="0409000F"/>
    <w:lvl w:ilvl="0">
      <w:start w:val="1"/>
      <w:numFmt w:val="decimal"/>
      <w:lvlText w:val="%1."/>
      <w:lvlJc w:val="left"/>
      <w:pPr>
        <w:tabs>
          <w:tab w:val="num" w:pos="342"/>
        </w:tabs>
        <w:ind w:left="342" w:hanging="360"/>
      </w:pPr>
    </w:lvl>
  </w:abstractNum>
  <w:abstractNum w:abstractNumId="28" w15:restartNumberingAfterBreak="0">
    <w:nsid w:val="2A041565"/>
    <w:multiLevelType w:val="hybridMultilevel"/>
    <w:tmpl w:val="06600E1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CA5001B"/>
    <w:multiLevelType w:val="singleLevel"/>
    <w:tmpl w:val="7EC03246"/>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D141F9F"/>
    <w:multiLevelType w:val="hybridMultilevel"/>
    <w:tmpl w:val="92FE8E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E14A7E"/>
    <w:multiLevelType w:val="hybridMultilevel"/>
    <w:tmpl w:val="0A665F8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300858DD"/>
    <w:multiLevelType w:val="hybridMultilevel"/>
    <w:tmpl w:val="D50CBA76"/>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304205DB"/>
    <w:multiLevelType w:val="hybridMultilevel"/>
    <w:tmpl w:val="A392A38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31B47801"/>
    <w:multiLevelType w:val="singleLevel"/>
    <w:tmpl w:val="FC562576"/>
    <w:lvl w:ilvl="0">
      <w:start w:val="4"/>
      <w:numFmt w:val="decimal"/>
      <w:lvlText w:val="%1."/>
      <w:lvlJc w:val="left"/>
      <w:pPr>
        <w:tabs>
          <w:tab w:val="num" w:pos="720"/>
        </w:tabs>
        <w:ind w:left="720" w:hanging="720"/>
      </w:pPr>
      <w:rPr>
        <w:rFonts w:hint="default"/>
      </w:rPr>
    </w:lvl>
  </w:abstractNum>
  <w:abstractNum w:abstractNumId="35" w15:restartNumberingAfterBreak="0">
    <w:nsid w:val="33DC4300"/>
    <w:multiLevelType w:val="hybridMultilevel"/>
    <w:tmpl w:val="176AB342"/>
    <w:lvl w:ilvl="0" w:tplc="FFFFFFFF">
      <w:start w:val="1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A43044"/>
    <w:multiLevelType w:val="hybridMultilevel"/>
    <w:tmpl w:val="D7D0F7D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37062B90"/>
    <w:multiLevelType w:val="hybridMultilevel"/>
    <w:tmpl w:val="0B24A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8205267"/>
    <w:multiLevelType w:val="hybridMultilevel"/>
    <w:tmpl w:val="03E24B1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DC7276"/>
    <w:multiLevelType w:val="hybridMultilevel"/>
    <w:tmpl w:val="E57C832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0E13AA5"/>
    <w:multiLevelType w:val="hybridMultilevel"/>
    <w:tmpl w:val="231AE52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48337E"/>
    <w:multiLevelType w:val="hybridMultilevel"/>
    <w:tmpl w:val="34FCFA10"/>
    <w:lvl w:ilvl="0" w:tplc="FFFFFFFF">
      <w:start w:val="1"/>
      <w:numFmt w:val="bullet"/>
      <w:lvlText w:val="-"/>
      <w:lvlJc w:val="left"/>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E818E6"/>
    <w:multiLevelType w:val="hybridMultilevel"/>
    <w:tmpl w:val="E7DC852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4A2C33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1503D4B"/>
    <w:multiLevelType w:val="hybridMultilevel"/>
    <w:tmpl w:val="38B86480"/>
    <w:lvl w:ilvl="0" w:tplc="FFFFFFFF">
      <w:start w:val="1"/>
      <w:numFmt w:val="bullet"/>
      <w:lvlText w:val=""/>
      <w:lvlJc w:val="left"/>
      <w:pPr>
        <w:tabs>
          <w:tab w:val="num" w:pos="1623"/>
        </w:tabs>
        <w:ind w:left="162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B51831"/>
    <w:multiLevelType w:val="hybridMultilevel"/>
    <w:tmpl w:val="D72891EC"/>
    <w:lvl w:ilvl="0" w:tplc="FFFFFFFF">
      <w:start w:val="1"/>
      <w:numFmt w:val="decimal"/>
      <w:lvlText w:val="%1)"/>
      <w:lvlJc w:val="left"/>
      <w:pPr>
        <w:tabs>
          <w:tab w:val="num" w:pos="720"/>
        </w:tabs>
        <w:ind w:left="720" w:hanging="360"/>
      </w:pPr>
      <w:rPr>
        <w:rFonts w:cs="Times New Roman"/>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5666528B"/>
    <w:multiLevelType w:val="hybridMultilevel"/>
    <w:tmpl w:val="D088B1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9B2D85"/>
    <w:multiLevelType w:val="hybridMultilevel"/>
    <w:tmpl w:val="156415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BA5131A"/>
    <w:multiLevelType w:val="hybridMultilevel"/>
    <w:tmpl w:val="E3DADF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547D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35623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52" w15:restartNumberingAfterBreak="0">
    <w:nsid w:val="66A933EF"/>
    <w:multiLevelType w:val="hybridMultilevel"/>
    <w:tmpl w:val="137E4C2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96F2593"/>
    <w:multiLevelType w:val="hybridMultilevel"/>
    <w:tmpl w:val="5CCC58E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B141ED7"/>
    <w:multiLevelType w:val="hybridMultilevel"/>
    <w:tmpl w:val="D7D0F7DC"/>
    <w:lvl w:ilvl="0" w:tplc="FFFFFFFF">
      <w:start w:val="1"/>
      <w:numFmt w:val="decimal"/>
      <w:lvlText w:val="%1."/>
      <w:lvlJc w:val="left"/>
      <w:pPr>
        <w:tabs>
          <w:tab w:val="num" w:pos="570"/>
        </w:tabs>
        <w:ind w:left="570" w:hanging="57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6B283A3F"/>
    <w:multiLevelType w:val="hybridMultilevel"/>
    <w:tmpl w:val="6854E1D4"/>
    <w:lvl w:ilvl="0" w:tplc="FFFFFFFF">
      <w:start w:val="1"/>
      <w:numFmt w:val="bullet"/>
      <w:lvlText w:val=""/>
      <w:lvlJc w:val="left"/>
      <w:pPr>
        <w:tabs>
          <w:tab w:val="num" w:pos="1676"/>
        </w:tabs>
        <w:ind w:left="1676" w:hanging="360"/>
      </w:pPr>
      <w:rPr>
        <w:rFonts w:ascii="Symbol" w:hAnsi="Symbol" w:hint="default"/>
      </w:rPr>
    </w:lvl>
    <w:lvl w:ilvl="1" w:tplc="FFFFFFFF" w:tentative="1">
      <w:start w:val="1"/>
      <w:numFmt w:val="bullet"/>
      <w:lvlText w:val="o"/>
      <w:lvlJc w:val="left"/>
      <w:pPr>
        <w:tabs>
          <w:tab w:val="num" w:pos="1493"/>
        </w:tabs>
        <w:ind w:left="1493" w:hanging="360"/>
      </w:pPr>
      <w:rPr>
        <w:rFonts w:ascii="Courier New" w:hAnsi="Courier New" w:cs="Courier New" w:hint="default"/>
      </w:rPr>
    </w:lvl>
    <w:lvl w:ilvl="2" w:tplc="FFFFFFFF" w:tentative="1">
      <w:start w:val="1"/>
      <w:numFmt w:val="bullet"/>
      <w:lvlText w:val=""/>
      <w:lvlJc w:val="left"/>
      <w:pPr>
        <w:tabs>
          <w:tab w:val="num" w:pos="2213"/>
        </w:tabs>
        <w:ind w:left="2213" w:hanging="360"/>
      </w:pPr>
      <w:rPr>
        <w:rFonts w:ascii="Wingdings" w:hAnsi="Wingdings" w:hint="default"/>
      </w:rPr>
    </w:lvl>
    <w:lvl w:ilvl="3" w:tplc="FFFFFFFF" w:tentative="1">
      <w:start w:val="1"/>
      <w:numFmt w:val="bullet"/>
      <w:lvlText w:val=""/>
      <w:lvlJc w:val="left"/>
      <w:pPr>
        <w:tabs>
          <w:tab w:val="num" w:pos="2933"/>
        </w:tabs>
        <w:ind w:left="2933" w:hanging="360"/>
      </w:pPr>
      <w:rPr>
        <w:rFonts w:ascii="Symbol" w:hAnsi="Symbol" w:hint="default"/>
      </w:rPr>
    </w:lvl>
    <w:lvl w:ilvl="4" w:tplc="FFFFFFFF" w:tentative="1">
      <w:start w:val="1"/>
      <w:numFmt w:val="bullet"/>
      <w:lvlText w:val="o"/>
      <w:lvlJc w:val="left"/>
      <w:pPr>
        <w:tabs>
          <w:tab w:val="num" w:pos="3653"/>
        </w:tabs>
        <w:ind w:left="3653" w:hanging="360"/>
      </w:pPr>
      <w:rPr>
        <w:rFonts w:ascii="Courier New" w:hAnsi="Courier New" w:cs="Courier New" w:hint="default"/>
      </w:rPr>
    </w:lvl>
    <w:lvl w:ilvl="5" w:tplc="FFFFFFFF" w:tentative="1">
      <w:start w:val="1"/>
      <w:numFmt w:val="bullet"/>
      <w:lvlText w:val=""/>
      <w:lvlJc w:val="left"/>
      <w:pPr>
        <w:tabs>
          <w:tab w:val="num" w:pos="4373"/>
        </w:tabs>
        <w:ind w:left="4373" w:hanging="360"/>
      </w:pPr>
      <w:rPr>
        <w:rFonts w:ascii="Wingdings" w:hAnsi="Wingdings" w:hint="default"/>
      </w:rPr>
    </w:lvl>
    <w:lvl w:ilvl="6" w:tplc="FFFFFFFF" w:tentative="1">
      <w:start w:val="1"/>
      <w:numFmt w:val="bullet"/>
      <w:lvlText w:val=""/>
      <w:lvlJc w:val="left"/>
      <w:pPr>
        <w:tabs>
          <w:tab w:val="num" w:pos="5093"/>
        </w:tabs>
        <w:ind w:left="5093" w:hanging="360"/>
      </w:pPr>
      <w:rPr>
        <w:rFonts w:ascii="Symbol" w:hAnsi="Symbol" w:hint="default"/>
      </w:rPr>
    </w:lvl>
    <w:lvl w:ilvl="7" w:tplc="FFFFFFFF" w:tentative="1">
      <w:start w:val="1"/>
      <w:numFmt w:val="bullet"/>
      <w:lvlText w:val="o"/>
      <w:lvlJc w:val="left"/>
      <w:pPr>
        <w:tabs>
          <w:tab w:val="num" w:pos="5813"/>
        </w:tabs>
        <w:ind w:left="5813" w:hanging="360"/>
      </w:pPr>
      <w:rPr>
        <w:rFonts w:ascii="Courier New" w:hAnsi="Courier New" w:cs="Courier New" w:hint="default"/>
      </w:rPr>
    </w:lvl>
    <w:lvl w:ilvl="8" w:tplc="FFFFFFFF" w:tentative="1">
      <w:start w:val="1"/>
      <w:numFmt w:val="bullet"/>
      <w:lvlText w:val=""/>
      <w:lvlJc w:val="left"/>
      <w:pPr>
        <w:tabs>
          <w:tab w:val="num" w:pos="6533"/>
        </w:tabs>
        <w:ind w:left="6533" w:hanging="360"/>
      </w:pPr>
      <w:rPr>
        <w:rFonts w:ascii="Wingdings" w:hAnsi="Wingdings" w:hint="default"/>
      </w:rPr>
    </w:lvl>
  </w:abstractNum>
  <w:abstractNum w:abstractNumId="56" w15:restartNumberingAfterBreak="0">
    <w:nsid w:val="6F9337D0"/>
    <w:multiLevelType w:val="hybridMultilevel"/>
    <w:tmpl w:val="7576BE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961801"/>
    <w:multiLevelType w:val="hybridMultilevel"/>
    <w:tmpl w:val="5290F82A"/>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100D28"/>
    <w:multiLevelType w:val="hybridMultilevel"/>
    <w:tmpl w:val="2F94C0BA"/>
    <w:lvl w:ilvl="0" w:tplc="FFFFFFFF">
      <w:start w:val="1"/>
      <w:numFmt w:val="upperLetter"/>
      <w:lvlText w:val="%1."/>
      <w:lvlJc w:val="left"/>
      <w:pPr>
        <w:ind w:left="5670" w:hanging="5670"/>
      </w:pPr>
      <w:rPr>
        <w:rFonts w:hint="default"/>
        <w:b/>
      </w:rPr>
    </w:lvl>
    <w:lvl w:ilvl="1" w:tplc="FFFFFFFF">
      <w:start w:val="1"/>
      <w:numFmt w:val="decimal"/>
      <w:lvlText w:val="%2."/>
      <w:lvlJc w:val="left"/>
      <w:pPr>
        <w:ind w:left="1650" w:hanging="570"/>
      </w:pPr>
      <w:rPr>
        <w:rFonts w:hint="default"/>
        <w:b/>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16cid:durableId="771248645">
    <w:abstractNumId w:val="29"/>
  </w:num>
  <w:num w:numId="2" w16cid:durableId="355928869">
    <w:abstractNumId w:val="34"/>
  </w:num>
  <w:num w:numId="3" w16cid:durableId="1904215504">
    <w:abstractNumId w:val="49"/>
  </w:num>
  <w:num w:numId="4" w16cid:durableId="233975594">
    <w:abstractNumId w:val="50"/>
  </w:num>
  <w:num w:numId="5" w16cid:durableId="364797426">
    <w:abstractNumId w:val="43"/>
  </w:num>
  <w:num w:numId="6" w16cid:durableId="449397870">
    <w:abstractNumId w:val="10"/>
    <w:lvlOverride w:ilvl="0">
      <w:lvl w:ilvl="0">
        <w:start w:val="1"/>
        <w:numFmt w:val="bullet"/>
        <w:lvlText w:val=""/>
        <w:legacy w:legacy="1" w:legacySpace="0" w:legacyIndent="144"/>
        <w:lvlJc w:val="left"/>
        <w:pPr>
          <w:ind w:left="504" w:hanging="144"/>
        </w:pPr>
        <w:rPr>
          <w:rFonts w:ascii="Symbol" w:hAnsi="Symbol" w:hint="default"/>
        </w:rPr>
      </w:lvl>
    </w:lvlOverride>
  </w:num>
  <w:num w:numId="7" w16cid:durableId="1511796098">
    <w:abstractNumId w:val="47"/>
  </w:num>
  <w:num w:numId="8" w16cid:durableId="595094798">
    <w:abstractNumId w:val="27"/>
  </w:num>
  <w:num w:numId="9" w16cid:durableId="960454522">
    <w:abstractNumId w:val="33"/>
  </w:num>
  <w:num w:numId="10" w16cid:durableId="1671326060">
    <w:abstractNumId w:val="10"/>
    <w:lvlOverride w:ilvl="0">
      <w:lvl w:ilvl="0">
        <w:start w:val="1"/>
        <w:numFmt w:val="bullet"/>
        <w:lvlText w:val="-"/>
        <w:legacy w:legacy="1" w:legacySpace="0" w:legacyIndent="360"/>
        <w:lvlJc w:val="left"/>
        <w:pPr>
          <w:ind w:left="360" w:hanging="360"/>
        </w:pPr>
      </w:lvl>
    </w:lvlOverride>
  </w:num>
  <w:num w:numId="11" w16cid:durableId="389809693">
    <w:abstractNumId w:val="38"/>
  </w:num>
  <w:num w:numId="12" w16cid:durableId="1923565950">
    <w:abstractNumId w:val="20"/>
  </w:num>
  <w:num w:numId="13" w16cid:durableId="1473936915">
    <w:abstractNumId w:val="54"/>
  </w:num>
  <w:num w:numId="14" w16cid:durableId="1502742900">
    <w:abstractNumId w:val="31"/>
  </w:num>
  <w:num w:numId="15" w16cid:durableId="991327640">
    <w:abstractNumId w:val="32"/>
  </w:num>
  <w:num w:numId="16" w16cid:durableId="2052069212">
    <w:abstractNumId w:val="28"/>
  </w:num>
  <w:num w:numId="17" w16cid:durableId="1472020881">
    <w:abstractNumId w:val="36"/>
  </w:num>
  <w:num w:numId="18" w16cid:durableId="714237773">
    <w:abstractNumId w:val="52"/>
  </w:num>
  <w:num w:numId="19" w16cid:durableId="936333298">
    <w:abstractNumId w:val="11"/>
  </w:num>
  <w:num w:numId="20" w16cid:durableId="33584669">
    <w:abstractNumId w:val="10"/>
    <w:lvlOverride w:ilvl="0">
      <w:lvl w:ilvl="0">
        <w:start w:val="1"/>
        <w:numFmt w:val="bullet"/>
        <w:lvlText w:val=""/>
        <w:lvlJc w:val="left"/>
        <w:pPr>
          <w:ind w:left="360" w:hanging="360"/>
        </w:pPr>
        <w:rPr>
          <w:rFonts w:ascii="Symbol" w:hAnsi="Symbol" w:hint="default"/>
        </w:rPr>
      </w:lvl>
    </w:lvlOverride>
  </w:num>
  <w:num w:numId="21" w16cid:durableId="431321634">
    <w:abstractNumId w:val="19"/>
  </w:num>
  <w:num w:numId="22" w16cid:durableId="735518532">
    <w:abstractNumId w:val="22"/>
  </w:num>
  <w:num w:numId="23" w16cid:durableId="1871451682">
    <w:abstractNumId w:val="55"/>
  </w:num>
  <w:num w:numId="24" w16cid:durableId="1794445630">
    <w:abstractNumId w:val="15"/>
  </w:num>
  <w:num w:numId="25" w16cid:durableId="895235982">
    <w:abstractNumId w:val="44"/>
  </w:num>
  <w:num w:numId="26" w16cid:durableId="34895775">
    <w:abstractNumId w:val="45"/>
  </w:num>
  <w:num w:numId="27" w16cid:durableId="1136221938">
    <w:abstractNumId w:val="42"/>
  </w:num>
  <w:num w:numId="28" w16cid:durableId="2033339312">
    <w:abstractNumId w:val="57"/>
  </w:num>
  <w:num w:numId="29" w16cid:durableId="1051996797">
    <w:abstractNumId w:val="46"/>
  </w:num>
  <w:num w:numId="30" w16cid:durableId="242179130">
    <w:abstractNumId w:val="48"/>
  </w:num>
  <w:num w:numId="31" w16cid:durableId="499735824">
    <w:abstractNumId w:val="9"/>
  </w:num>
  <w:num w:numId="32" w16cid:durableId="841315766">
    <w:abstractNumId w:val="7"/>
  </w:num>
  <w:num w:numId="33" w16cid:durableId="1293556750">
    <w:abstractNumId w:val="6"/>
  </w:num>
  <w:num w:numId="34" w16cid:durableId="1183591386">
    <w:abstractNumId w:val="5"/>
  </w:num>
  <w:num w:numId="35" w16cid:durableId="1966347432">
    <w:abstractNumId w:val="4"/>
  </w:num>
  <w:num w:numId="36" w16cid:durableId="1875194657">
    <w:abstractNumId w:val="8"/>
  </w:num>
  <w:num w:numId="37" w16cid:durableId="2130472689">
    <w:abstractNumId w:val="3"/>
  </w:num>
  <w:num w:numId="38" w16cid:durableId="1022823383">
    <w:abstractNumId w:val="2"/>
  </w:num>
  <w:num w:numId="39" w16cid:durableId="2011255192">
    <w:abstractNumId w:val="1"/>
  </w:num>
  <w:num w:numId="40" w16cid:durableId="570774715">
    <w:abstractNumId w:val="0"/>
  </w:num>
  <w:num w:numId="41" w16cid:durableId="1684167105">
    <w:abstractNumId w:val="56"/>
  </w:num>
  <w:num w:numId="42" w16cid:durableId="249194682">
    <w:abstractNumId w:val="14"/>
  </w:num>
  <w:num w:numId="43" w16cid:durableId="233198778">
    <w:abstractNumId w:val="24"/>
  </w:num>
  <w:num w:numId="44" w16cid:durableId="240876738">
    <w:abstractNumId w:val="39"/>
  </w:num>
  <w:num w:numId="45" w16cid:durableId="147670908">
    <w:abstractNumId w:val="58"/>
  </w:num>
  <w:num w:numId="46" w16cid:durableId="1154954561">
    <w:abstractNumId w:val="23"/>
  </w:num>
  <w:num w:numId="47" w16cid:durableId="1785271310">
    <w:abstractNumId w:val="30"/>
  </w:num>
  <w:num w:numId="48" w16cid:durableId="1862083363">
    <w:abstractNumId w:val="35"/>
  </w:num>
  <w:num w:numId="49" w16cid:durableId="774979857">
    <w:abstractNumId w:val="40"/>
  </w:num>
  <w:num w:numId="50" w16cid:durableId="1320574280">
    <w:abstractNumId w:val="16"/>
  </w:num>
  <w:num w:numId="51" w16cid:durableId="185336731">
    <w:abstractNumId w:val="21"/>
  </w:num>
  <w:num w:numId="52" w16cid:durableId="227611568">
    <w:abstractNumId w:val="53"/>
  </w:num>
  <w:num w:numId="53" w16cid:durableId="2090347402">
    <w:abstractNumId w:val="12"/>
  </w:num>
  <w:num w:numId="54" w16cid:durableId="1843008808">
    <w:abstractNumId w:val="41"/>
  </w:num>
  <w:num w:numId="55" w16cid:durableId="1214149251">
    <w:abstractNumId w:val="26"/>
  </w:num>
  <w:num w:numId="56" w16cid:durableId="303194492">
    <w:abstractNumId w:val="13"/>
  </w:num>
  <w:num w:numId="57" w16cid:durableId="513494814">
    <w:abstractNumId w:val="59"/>
  </w:num>
  <w:num w:numId="58" w16cid:durableId="998001189">
    <w:abstractNumId w:val="17"/>
  </w:num>
  <w:num w:numId="59" w16cid:durableId="905915546">
    <w:abstractNumId w:val="25"/>
  </w:num>
  <w:num w:numId="60" w16cid:durableId="907231322">
    <w:abstractNumId w:val="51"/>
  </w:num>
  <w:num w:numId="61" w16cid:durableId="1078674763">
    <w:abstractNumId w:val="18"/>
  </w:num>
  <w:num w:numId="62" w16cid:durableId="1457605509">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YwNTAwMDI3NzC3NDBQ0lEKTi0uzszPAykwrAUAIMLlVSwAAAA="/>
  </w:docVars>
  <w:rsids>
    <w:rsidRoot w:val="00002F79"/>
    <w:rsid w:val="00002F79"/>
    <w:rsid w:val="000030A3"/>
    <w:rsid w:val="00006AD1"/>
    <w:rsid w:val="00007D5C"/>
    <w:rsid w:val="000107E8"/>
    <w:rsid w:val="000109F4"/>
    <w:rsid w:val="00011A30"/>
    <w:rsid w:val="00012A1D"/>
    <w:rsid w:val="0001465C"/>
    <w:rsid w:val="0001477B"/>
    <w:rsid w:val="00015CE2"/>
    <w:rsid w:val="000167E7"/>
    <w:rsid w:val="000169BB"/>
    <w:rsid w:val="0001724A"/>
    <w:rsid w:val="00034646"/>
    <w:rsid w:val="000347CB"/>
    <w:rsid w:val="00042822"/>
    <w:rsid w:val="00045C7A"/>
    <w:rsid w:val="0004711A"/>
    <w:rsid w:val="00050274"/>
    <w:rsid w:val="00061B1C"/>
    <w:rsid w:val="000620AF"/>
    <w:rsid w:val="00062625"/>
    <w:rsid w:val="0006323A"/>
    <w:rsid w:val="00070241"/>
    <w:rsid w:val="00071A50"/>
    <w:rsid w:val="0007299F"/>
    <w:rsid w:val="00074055"/>
    <w:rsid w:val="000750D2"/>
    <w:rsid w:val="000763C9"/>
    <w:rsid w:val="000776DE"/>
    <w:rsid w:val="00077A3B"/>
    <w:rsid w:val="00084A0A"/>
    <w:rsid w:val="00087EE6"/>
    <w:rsid w:val="00092EBA"/>
    <w:rsid w:val="00093D13"/>
    <w:rsid w:val="000974E1"/>
    <w:rsid w:val="000A294A"/>
    <w:rsid w:val="000A3DFF"/>
    <w:rsid w:val="000A7F2E"/>
    <w:rsid w:val="000B0AE7"/>
    <w:rsid w:val="000B2705"/>
    <w:rsid w:val="000B3410"/>
    <w:rsid w:val="000B4D4A"/>
    <w:rsid w:val="000B4D99"/>
    <w:rsid w:val="000B72B2"/>
    <w:rsid w:val="000C1252"/>
    <w:rsid w:val="000C76BA"/>
    <w:rsid w:val="000C76C3"/>
    <w:rsid w:val="000D1757"/>
    <w:rsid w:val="000D217C"/>
    <w:rsid w:val="000D44B0"/>
    <w:rsid w:val="000D5188"/>
    <w:rsid w:val="000E0017"/>
    <w:rsid w:val="000E0112"/>
    <w:rsid w:val="000E295D"/>
    <w:rsid w:val="000E32D4"/>
    <w:rsid w:val="000E74F4"/>
    <w:rsid w:val="000F23F7"/>
    <w:rsid w:val="000F2A7D"/>
    <w:rsid w:val="000F4400"/>
    <w:rsid w:val="000F4F17"/>
    <w:rsid w:val="000F74E7"/>
    <w:rsid w:val="001042AE"/>
    <w:rsid w:val="00106FBA"/>
    <w:rsid w:val="00111C7D"/>
    <w:rsid w:val="0011512F"/>
    <w:rsid w:val="00121B54"/>
    <w:rsid w:val="0012398F"/>
    <w:rsid w:val="00123ECB"/>
    <w:rsid w:val="001257FC"/>
    <w:rsid w:val="00134514"/>
    <w:rsid w:val="0013679C"/>
    <w:rsid w:val="00144C69"/>
    <w:rsid w:val="001451C3"/>
    <w:rsid w:val="00146771"/>
    <w:rsid w:val="00156E1F"/>
    <w:rsid w:val="00166909"/>
    <w:rsid w:val="00171903"/>
    <w:rsid w:val="00171E45"/>
    <w:rsid w:val="00173660"/>
    <w:rsid w:val="00174495"/>
    <w:rsid w:val="001744E0"/>
    <w:rsid w:val="00177CB6"/>
    <w:rsid w:val="00183EB9"/>
    <w:rsid w:val="001913D0"/>
    <w:rsid w:val="001922B8"/>
    <w:rsid w:val="0019723D"/>
    <w:rsid w:val="001A0BCC"/>
    <w:rsid w:val="001A5B27"/>
    <w:rsid w:val="001B1CD7"/>
    <w:rsid w:val="001B2B03"/>
    <w:rsid w:val="001B7347"/>
    <w:rsid w:val="001B7A39"/>
    <w:rsid w:val="001C18B8"/>
    <w:rsid w:val="001C3029"/>
    <w:rsid w:val="001D5052"/>
    <w:rsid w:val="001D6A99"/>
    <w:rsid w:val="001E2879"/>
    <w:rsid w:val="001E3BA5"/>
    <w:rsid w:val="001F085A"/>
    <w:rsid w:val="001F39B9"/>
    <w:rsid w:val="00200656"/>
    <w:rsid w:val="002177D4"/>
    <w:rsid w:val="00220E8E"/>
    <w:rsid w:val="0022569D"/>
    <w:rsid w:val="002318E3"/>
    <w:rsid w:val="00231A54"/>
    <w:rsid w:val="00233276"/>
    <w:rsid w:val="00233400"/>
    <w:rsid w:val="00234A3C"/>
    <w:rsid w:val="0024328B"/>
    <w:rsid w:val="00243B2D"/>
    <w:rsid w:val="00244E2B"/>
    <w:rsid w:val="002533D8"/>
    <w:rsid w:val="0025372C"/>
    <w:rsid w:val="00253D2D"/>
    <w:rsid w:val="002610F9"/>
    <w:rsid w:val="00262E24"/>
    <w:rsid w:val="00264D3A"/>
    <w:rsid w:val="00270573"/>
    <w:rsid w:val="00270F31"/>
    <w:rsid w:val="0027121A"/>
    <w:rsid w:val="002736FE"/>
    <w:rsid w:val="0027552D"/>
    <w:rsid w:val="002779AC"/>
    <w:rsid w:val="002800F9"/>
    <w:rsid w:val="0028362E"/>
    <w:rsid w:val="002851E5"/>
    <w:rsid w:val="00286BAB"/>
    <w:rsid w:val="00295FDA"/>
    <w:rsid w:val="00296933"/>
    <w:rsid w:val="002A076F"/>
    <w:rsid w:val="002A263E"/>
    <w:rsid w:val="002A35D6"/>
    <w:rsid w:val="002A461A"/>
    <w:rsid w:val="002A6CAB"/>
    <w:rsid w:val="002B1059"/>
    <w:rsid w:val="002C211C"/>
    <w:rsid w:val="002C2B7A"/>
    <w:rsid w:val="002C5157"/>
    <w:rsid w:val="002D00B0"/>
    <w:rsid w:val="002D21DB"/>
    <w:rsid w:val="002D3FAF"/>
    <w:rsid w:val="002D45DB"/>
    <w:rsid w:val="002D5EDB"/>
    <w:rsid w:val="002D68A7"/>
    <w:rsid w:val="002D7CEE"/>
    <w:rsid w:val="002E668A"/>
    <w:rsid w:val="002F2DA7"/>
    <w:rsid w:val="002F363E"/>
    <w:rsid w:val="002F5EA8"/>
    <w:rsid w:val="002F6C00"/>
    <w:rsid w:val="00307DCD"/>
    <w:rsid w:val="0031298E"/>
    <w:rsid w:val="00315BBF"/>
    <w:rsid w:val="00320409"/>
    <w:rsid w:val="00322217"/>
    <w:rsid w:val="00325B63"/>
    <w:rsid w:val="00327C01"/>
    <w:rsid w:val="00330B56"/>
    <w:rsid w:val="003356AC"/>
    <w:rsid w:val="00351C59"/>
    <w:rsid w:val="00352078"/>
    <w:rsid w:val="0035320D"/>
    <w:rsid w:val="00353B2D"/>
    <w:rsid w:val="00364EC9"/>
    <w:rsid w:val="00365C82"/>
    <w:rsid w:val="003743B8"/>
    <w:rsid w:val="00374A58"/>
    <w:rsid w:val="00374DF5"/>
    <w:rsid w:val="003770A4"/>
    <w:rsid w:val="00383052"/>
    <w:rsid w:val="0038542C"/>
    <w:rsid w:val="00394257"/>
    <w:rsid w:val="00394431"/>
    <w:rsid w:val="003964ED"/>
    <w:rsid w:val="00396905"/>
    <w:rsid w:val="003A11B9"/>
    <w:rsid w:val="003A145A"/>
    <w:rsid w:val="003A2275"/>
    <w:rsid w:val="003A49E3"/>
    <w:rsid w:val="003A4D8B"/>
    <w:rsid w:val="003A630B"/>
    <w:rsid w:val="003A66B5"/>
    <w:rsid w:val="003B1A58"/>
    <w:rsid w:val="003B288B"/>
    <w:rsid w:val="003B3B75"/>
    <w:rsid w:val="003C13DA"/>
    <w:rsid w:val="003C1743"/>
    <w:rsid w:val="003C3F19"/>
    <w:rsid w:val="003D0C05"/>
    <w:rsid w:val="003D1502"/>
    <w:rsid w:val="003D1A75"/>
    <w:rsid w:val="003D4743"/>
    <w:rsid w:val="003D69DB"/>
    <w:rsid w:val="003D7E47"/>
    <w:rsid w:val="003E4446"/>
    <w:rsid w:val="003E66AE"/>
    <w:rsid w:val="003E6BDC"/>
    <w:rsid w:val="003E6E7A"/>
    <w:rsid w:val="003E7A22"/>
    <w:rsid w:val="003F1682"/>
    <w:rsid w:val="003F24DD"/>
    <w:rsid w:val="003F4694"/>
    <w:rsid w:val="003F76E3"/>
    <w:rsid w:val="00403AF1"/>
    <w:rsid w:val="004101AB"/>
    <w:rsid w:val="00411F88"/>
    <w:rsid w:val="00413573"/>
    <w:rsid w:val="00414081"/>
    <w:rsid w:val="004153DD"/>
    <w:rsid w:val="00417605"/>
    <w:rsid w:val="004201E5"/>
    <w:rsid w:val="0042407E"/>
    <w:rsid w:val="00426C08"/>
    <w:rsid w:val="0043109C"/>
    <w:rsid w:val="0043172C"/>
    <w:rsid w:val="004412E6"/>
    <w:rsid w:val="00454269"/>
    <w:rsid w:val="00454A57"/>
    <w:rsid w:val="004601E6"/>
    <w:rsid w:val="004636CF"/>
    <w:rsid w:val="004638DA"/>
    <w:rsid w:val="0046390C"/>
    <w:rsid w:val="00464DF0"/>
    <w:rsid w:val="00465619"/>
    <w:rsid w:val="0046635F"/>
    <w:rsid w:val="00470F47"/>
    <w:rsid w:val="00476E99"/>
    <w:rsid w:val="00480325"/>
    <w:rsid w:val="004822D7"/>
    <w:rsid w:val="004859A8"/>
    <w:rsid w:val="00486599"/>
    <w:rsid w:val="00487F37"/>
    <w:rsid w:val="00490A71"/>
    <w:rsid w:val="00490AF3"/>
    <w:rsid w:val="004934DE"/>
    <w:rsid w:val="00493D01"/>
    <w:rsid w:val="00495AC6"/>
    <w:rsid w:val="004A20D1"/>
    <w:rsid w:val="004A3916"/>
    <w:rsid w:val="004A7464"/>
    <w:rsid w:val="004A7EF1"/>
    <w:rsid w:val="004B02AD"/>
    <w:rsid w:val="004B47BB"/>
    <w:rsid w:val="004C7D39"/>
    <w:rsid w:val="004D1132"/>
    <w:rsid w:val="004D23D9"/>
    <w:rsid w:val="004D3043"/>
    <w:rsid w:val="004D5369"/>
    <w:rsid w:val="004E270B"/>
    <w:rsid w:val="004E6259"/>
    <w:rsid w:val="004E6763"/>
    <w:rsid w:val="004E6FF4"/>
    <w:rsid w:val="004F32F8"/>
    <w:rsid w:val="004F40D0"/>
    <w:rsid w:val="004F4818"/>
    <w:rsid w:val="004F48A4"/>
    <w:rsid w:val="004F4F6D"/>
    <w:rsid w:val="004F50AD"/>
    <w:rsid w:val="004F7159"/>
    <w:rsid w:val="004F7285"/>
    <w:rsid w:val="00500767"/>
    <w:rsid w:val="00507185"/>
    <w:rsid w:val="005114DA"/>
    <w:rsid w:val="00512103"/>
    <w:rsid w:val="005149B6"/>
    <w:rsid w:val="00516505"/>
    <w:rsid w:val="00516AD5"/>
    <w:rsid w:val="005173D5"/>
    <w:rsid w:val="005206D7"/>
    <w:rsid w:val="00521E78"/>
    <w:rsid w:val="005239AB"/>
    <w:rsid w:val="005246D7"/>
    <w:rsid w:val="00524C0D"/>
    <w:rsid w:val="00530686"/>
    <w:rsid w:val="00530D68"/>
    <w:rsid w:val="0053294B"/>
    <w:rsid w:val="00533D4F"/>
    <w:rsid w:val="00540B59"/>
    <w:rsid w:val="00540CBF"/>
    <w:rsid w:val="00542666"/>
    <w:rsid w:val="00544BD6"/>
    <w:rsid w:val="00546B76"/>
    <w:rsid w:val="00546C2E"/>
    <w:rsid w:val="00562460"/>
    <w:rsid w:val="005646C6"/>
    <w:rsid w:val="0056491A"/>
    <w:rsid w:val="00565048"/>
    <w:rsid w:val="00570839"/>
    <w:rsid w:val="0057258E"/>
    <w:rsid w:val="0057699F"/>
    <w:rsid w:val="005859B7"/>
    <w:rsid w:val="00590A5A"/>
    <w:rsid w:val="00591AB6"/>
    <w:rsid w:val="005924FC"/>
    <w:rsid w:val="00592B76"/>
    <w:rsid w:val="00592FDC"/>
    <w:rsid w:val="005A2E7A"/>
    <w:rsid w:val="005A357F"/>
    <w:rsid w:val="005A6078"/>
    <w:rsid w:val="005A717C"/>
    <w:rsid w:val="005B149D"/>
    <w:rsid w:val="005B3720"/>
    <w:rsid w:val="005B408C"/>
    <w:rsid w:val="005B4387"/>
    <w:rsid w:val="005B4D45"/>
    <w:rsid w:val="005B784C"/>
    <w:rsid w:val="005C5DF3"/>
    <w:rsid w:val="005D16C8"/>
    <w:rsid w:val="005D6334"/>
    <w:rsid w:val="005D7B4B"/>
    <w:rsid w:val="005E26D0"/>
    <w:rsid w:val="005E28DB"/>
    <w:rsid w:val="005E2F04"/>
    <w:rsid w:val="005E40AF"/>
    <w:rsid w:val="005E5F61"/>
    <w:rsid w:val="005E688F"/>
    <w:rsid w:val="005E7862"/>
    <w:rsid w:val="005E7946"/>
    <w:rsid w:val="005E7BD6"/>
    <w:rsid w:val="005F61E8"/>
    <w:rsid w:val="00601775"/>
    <w:rsid w:val="00602647"/>
    <w:rsid w:val="006032E8"/>
    <w:rsid w:val="006057ED"/>
    <w:rsid w:val="006120C4"/>
    <w:rsid w:val="00612AFF"/>
    <w:rsid w:val="00615953"/>
    <w:rsid w:val="00620171"/>
    <w:rsid w:val="006210F1"/>
    <w:rsid w:val="00621D0D"/>
    <w:rsid w:val="006310DA"/>
    <w:rsid w:val="00637849"/>
    <w:rsid w:val="00640A86"/>
    <w:rsid w:val="00643048"/>
    <w:rsid w:val="00645FA7"/>
    <w:rsid w:val="006476DA"/>
    <w:rsid w:val="00652416"/>
    <w:rsid w:val="0065734B"/>
    <w:rsid w:val="00661BD5"/>
    <w:rsid w:val="0067319D"/>
    <w:rsid w:val="0067374F"/>
    <w:rsid w:val="00673DBA"/>
    <w:rsid w:val="00675A28"/>
    <w:rsid w:val="00680A00"/>
    <w:rsid w:val="006823FD"/>
    <w:rsid w:val="00682997"/>
    <w:rsid w:val="00687B2C"/>
    <w:rsid w:val="006908B4"/>
    <w:rsid w:val="006909E3"/>
    <w:rsid w:val="00691A5F"/>
    <w:rsid w:val="00694FF3"/>
    <w:rsid w:val="006A273A"/>
    <w:rsid w:val="006A6564"/>
    <w:rsid w:val="006A67C8"/>
    <w:rsid w:val="006B083F"/>
    <w:rsid w:val="006B5B1A"/>
    <w:rsid w:val="006B5BAC"/>
    <w:rsid w:val="006B6E50"/>
    <w:rsid w:val="006C07F1"/>
    <w:rsid w:val="006C3EF1"/>
    <w:rsid w:val="006D1068"/>
    <w:rsid w:val="006D1A32"/>
    <w:rsid w:val="006D3C81"/>
    <w:rsid w:val="006D4D00"/>
    <w:rsid w:val="006D4E33"/>
    <w:rsid w:val="006D67D2"/>
    <w:rsid w:val="006E104D"/>
    <w:rsid w:val="006E1921"/>
    <w:rsid w:val="006E2B66"/>
    <w:rsid w:val="006E34FE"/>
    <w:rsid w:val="006F17EE"/>
    <w:rsid w:val="006F4CD9"/>
    <w:rsid w:val="006F6CB4"/>
    <w:rsid w:val="00702C6B"/>
    <w:rsid w:val="00704464"/>
    <w:rsid w:val="00716A2A"/>
    <w:rsid w:val="0072651E"/>
    <w:rsid w:val="00732188"/>
    <w:rsid w:val="00734027"/>
    <w:rsid w:val="007347BB"/>
    <w:rsid w:val="00746F95"/>
    <w:rsid w:val="0075129B"/>
    <w:rsid w:val="00752ACE"/>
    <w:rsid w:val="007549FE"/>
    <w:rsid w:val="007609A2"/>
    <w:rsid w:val="0076172F"/>
    <w:rsid w:val="0076186F"/>
    <w:rsid w:val="007628D2"/>
    <w:rsid w:val="00767253"/>
    <w:rsid w:val="0077062F"/>
    <w:rsid w:val="00770D70"/>
    <w:rsid w:val="007717A1"/>
    <w:rsid w:val="00777250"/>
    <w:rsid w:val="00777D34"/>
    <w:rsid w:val="007818D5"/>
    <w:rsid w:val="00784C7A"/>
    <w:rsid w:val="00787AF7"/>
    <w:rsid w:val="007A2257"/>
    <w:rsid w:val="007A25BE"/>
    <w:rsid w:val="007B268D"/>
    <w:rsid w:val="007B27D6"/>
    <w:rsid w:val="007B3A92"/>
    <w:rsid w:val="007B7BA2"/>
    <w:rsid w:val="007C20CC"/>
    <w:rsid w:val="007C26B7"/>
    <w:rsid w:val="007D2A02"/>
    <w:rsid w:val="007D69F3"/>
    <w:rsid w:val="007E084B"/>
    <w:rsid w:val="007E1ADA"/>
    <w:rsid w:val="007F0521"/>
    <w:rsid w:val="007F0ADE"/>
    <w:rsid w:val="007F3A20"/>
    <w:rsid w:val="007F46C3"/>
    <w:rsid w:val="007F6514"/>
    <w:rsid w:val="00803676"/>
    <w:rsid w:val="0080543E"/>
    <w:rsid w:val="008069B4"/>
    <w:rsid w:val="00810423"/>
    <w:rsid w:val="00811B17"/>
    <w:rsid w:val="00811E0E"/>
    <w:rsid w:val="008130F5"/>
    <w:rsid w:val="0081329B"/>
    <w:rsid w:val="00815167"/>
    <w:rsid w:val="00816058"/>
    <w:rsid w:val="00822CC3"/>
    <w:rsid w:val="00823B32"/>
    <w:rsid w:val="00823E2F"/>
    <w:rsid w:val="0082425C"/>
    <w:rsid w:val="008268FB"/>
    <w:rsid w:val="008305B1"/>
    <w:rsid w:val="00830A5F"/>
    <w:rsid w:val="0083673A"/>
    <w:rsid w:val="00836F8B"/>
    <w:rsid w:val="00842D1B"/>
    <w:rsid w:val="0084420C"/>
    <w:rsid w:val="008454EF"/>
    <w:rsid w:val="00847017"/>
    <w:rsid w:val="008520F9"/>
    <w:rsid w:val="0085316A"/>
    <w:rsid w:val="00853AEF"/>
    <w:rsid w:val="00854B7F"/>
    <w:rsid w:val="00855A33"/>
    <w:rsid w:val="008569E0"/>
    <w:rsid w:val="00860366"/>
    <w:rsid w:val="008605E2"/>
    <w:rsid w:val="00863DB3"/>
    <w:rsid w:val="00864CDC"/>
    <w:rsid w:val="008709A4"/>
    <w:rsid w:val="00873257"/>
    <w:rsid w:val="00874289"/>
    <w:rsid w:val="00875F53"/>
    <w:rsid w:val="008828AB"/>
    <w:rsid w:val="008860C4"/>
    <w:rsid w:val="008911FB"/>
    <w:rsid w:val="008912C8"/>
    <w:rsid w:val="008A3473"/>
    <w:rsid w:val="008A4518"/>
    <w:rsid w:val="008A4972"/>
    <w:rsid w:val="008A5F41"/>
    <w:rsid w:val="008A7918"/>
    <w:rsid w:val="008C1CBB"/>
    <w:rsid w:val="008C4224"/>
    <w:rsid w:val="008C4998"/>
    <w:rsid w:val="008C7CFA"/>
    <w:rsid w:val="008D0450"/>
    <w:rsid w:val="008D1CB2"/>
    <w:rsid w:val="008D5679"/>
    <w:rsid w:val="008D5F35"/>
    <w:rsid w:val="008E09BA"/>
    <w:rsid w:val="008E3DAE"/>
    <w:rsid w:val="008E542F"/>
    <w:rsid w:val="008F2269"/>
    <w:rsid w:val="008F37AD"/>
    <w:rsid w:val="008F4798"/>
    <w:rsid w:val="008F558B"/>
    <w:rsid w:val="008F582F"/>
    <w:rsid w:val="008F5BB5"/>
    <w:rsid w:val="008F6CCF"/>
    <w:rsid w:val="009068FD"/>
    <w:rsid w:val="00911396"/>
    <w:rsid w:val="00912642"/>
    <w:rsid w:val="0091264F"/>
    <w:rsid w:val="00913AAA"/>
    <w:rsid w:val="009217E7"/>
    <w:rsid w:val="00922120"/>
    <w:rsid w:val="00922ACF"/>
    <w:rsid w:val="00926233"/>
    <w:rsid w:val="0092723E"/>
    <w:rsid w:val="009311AC"/>
    <w:rsid w:val="00936ACA"/>
    <w:rsid w:val="00940BD8"/>
    <w:rsid w:val="00945061"/>
    <w:rsid w:val="00947698"/>
    <w:rsid w:val="00950A80"/>
    <w:rsid w:val="00950F3A"/>
    <w:rsid w:val="00953D0F"/>
    <w:rsid w:val="00962A14"/>
    <w:rsid w:val="009630A1"/>
    <w:rsid w:val="00963AD4"/>
    <w:rsid w:val="00970BFA"/>
    <w:rsid w:val="009718FC"/>
    <w:rsid w:val="00973193"/>
    <w:rsid w:val="00973E37"/>
    <w:rsid w:val="00975265"/>
    <w:rsid w:val="0098001D"/>
    <w:rsid w:val="009811EF"/>
    <w:rsid w:val="009817D6"/>
    <w:rsid w:val="00983CFC"/>
    <w:rsid w:val="009901D7"/>
    <w:rsid w:val="0099276D"/>
    <w:rsid w:val="009A0B29"/>
    <w:rsid w:val="009A4537"/>
    <w:rsid w:val="009A4FB3"/>
    <w:rsid w:val="009B099A"/>
    <w:rsid w:val="009B171B"/>
    <w:rsid w:val="009B2BC3"/>
    <w:rsid w:val="009B65F1"/>
    <w:rsid w:val="009C1144"/>
    <w:rsid w:val="009C4F29"/>
    <w:rsid w:val="009D5A8E"/>
    <w:rsid w:val="009D69EE"/>
    <w:rsid w:val="009D7269"/>
    <w:rsid w:val="009D7A49"/>
    <w:rsid w:val="009E454C"/>
    <w:rsid w:val="009E630B"/>
    <w:rsid w:val="009E6867"/>
    <w:rsid w:val="009F013B"/>
    <w:rsid w:val="00A016C0"/>
    <w:rsid w:val="00A017F9"/>
    <w:rsid w:val="00A02CD8"/>
    <w:rsid w:val="00A02F71"/>
    <w:rsid w:val="00A034EB"/>
    <w:rsid w:val="00A07463"/>
    <w:rsid w:val="00A07C33"/>
    <w:rsid w:val="00A11B3B"/>
    <w:rsid w:val="00A2044D"/>
    <w:rsid w:val="00A25B54"/>
    <w:rsid w:val="00A30B5E"/>
    <w:rsid w:val="00A33F3C"/>
    <w:rsid w:val="00A34716"/>
    <w:rsid w:val="00A4296A"/>
    <w:rsid w:val="00A4457A"/>
    <w:rsid w:val="00A473F9"/>
    <w:rsid w:val="00A53C2C"/>
    <w:rsid w:val="00A54F00"/>
    <w:rsid w:val="00A557B0"/>
    <w:rsid w:val="00A60A58"/>
    <w:rsid w:val="00A63D69"/>
    <w:rsid w:val="00A64116"/>
    <w:rsid w:val="00A65EC5"/>
    <w:rsid w:val="00A65ECE"/>
    <w:rsid w:val="00A73046"/>
    <w:rsid w:val="00A74C6E"/>
    <w:rsid w:val="00A8512A"/>
    <w:rsid w:val="00A852D6"/>
    <w:rsid w:val="00A8673E"/>
    <w:rsid w:val="00A901B1"/>
    <w:rsid w:val="00A91B4F"/>
    <w:rsid w:val="00A921F5"/>
    <w:rsid w:val="00A94599"/>
    <w:rsid w:val="00AA1026"/>
    <w:rsid w:val="00AA1186"/>
    <w:rsid w:val="00AA4331"/>
    <w:rsid w:val="00AA5BE7"/>
    <w:rsid w:val="00AA741D"/>
    <w:rsid w:val="00AA7D34"/>
    <w:rsid w:val="00AB2521"/>
    <w:rsid w:val="00AB76C1"/>
    <w:rsid w:val="00AC6F6F"/>
    <w:rsid w:val="00AD4729"/>
    <w:rsid w:val="00AD523D"/>
    <w:rsid w:val="00AD66DE"/>
    <w:rsid w:val="00AE1F56"/>
    <w:rsid w:val="00AE35B6"/>
    <w:rsid w:val="00AE3E54"/>
    <w:rsid w:val="00AE4637"/>
    <w:rsid w:val="00AE5369"/>
    <w:rsid w:val="00AF4FD8"/>
    <w:rsid w:val="00AF5777"/>
    <w:rsid w:val="00AF6C84"/>
    <w:rsid w:val="00B03CAD"/>
    <w:rsid w:val="00B04B14"/>
    <w:rsid w:val="00B04CEF"/>
    <w:rsid w:val="00B125BB"/>
    <w:rsid w:val="00B13299"/>
    <w:rsid w:val="00B151D0"/>
    <w:rsid w:val="00B169A1"/>
    <w:rsid w:val="00B25570"/>
    <w:rsid w:val="00B26176"/>
    <w:rsid w:val="00B26B37"/>
    <w:rsid w:val="00B31659"/>
    <w:rsid w:val="00B319C7"/>
    <w:rsid w:val="00B31A1F"/>
    <w:rsid w:val="00B37C19"/>
    <w:rsid w:val="00B42801"/>
    <w:rsid w:val="00B42BA8"/>
    <w:rsid w:val="00B42BE5"/>
    <w:rsid w:val="00B441BF"/>
    <w:rsid w:val="00B457D8"/>
    <w:rsid w:val="00B459B4"/>
    <w:rsid w:val="00B45F51"/>
    <w:rsid w:val="00B5523E"/>
    <w:rsid w:val="00B6121D"/>
    <w:rsid w:val="00B62C25"/>
    <w:rsid w:val="00B64B91"/>
    <w:rsid w:val="00B65874"/>
    <w:rsid w:val="00B70358"/>
    <w:rsid w:val="00B7144F"/>
    <w:rsid w:val="00B71934"/>
    <w:rsid w:val="00B72419"/>
    <w:rsid w:val="00B72D0D"/>
    <w:rsid w:val="00B72D9C"/>
    <w:rsid w:val="00B739DD"/>
    <w:rsid w:val="00B7525D"/>
    <w:rsid w:val="00B75D07"/>
    <w:rsid w:val="00B7621A"/>
    <w:rsid w:val="00B85B3F"/>
    <w:rsid w:val="00B9016E"/>
    <w:rsid w:val="00B91385"/>
    <w:rsid w:val="00B9210A"/>
    <w:rsid w:val="00B92295"/>
    <w:rsid w:val="00B94C0A"/>
    <w:rsid w:val="00B95A91"/>
    <w:rsid w:val="00BA046E"/>
    <w:rsid w:val="00BA659D"/>
    <w:rsid w:val="00BC0BD5"/>
    <w:rsid w:val="00BC14F8"/>
    <w:rsid w:val="00BC32B8"/>
    <w:rsid w:val="00BC3449"/>
    <w:rsid w:val="00BD1D70"/>
    <w:rsid w:val="00BD75B9"/>
    <w:rsid w:val="00BE2D07"/>
    <w:rsid w:val="00BF0735"/>
    <w:rsid w:val="00BF08D0"/>
    <w:rsid w:val="00BF220A"/>
    <w:rsid w:val="00BF3C3B"/>
    <w:rsid w:val="00BF40F9"/>
    <w:rsid w:val="00BF7BE9"/>
    <w:rsid w:val="00C00400"/>
    <w:rsid w:val="00C01003"/>
    <w:rsid w:val="00C030DE"/>
    <w:rsid w:val="00C032E7"/>
    <w:rsid w:val="00C063CE"/>
    <w:rsid w:val="00C10DEE"/>
    <w:rsid w:val="00C13E6F"/>
    <w:rsid w:val="00C1483E"/>
    <w:rsid w:val="00C15968"/>
    <w:rsid w:val="00C16338"/>
    <w:rsid w:val="00C226E6"/>
    <w:rsid w:val="00C23A18"/>
    <w:rsid w:val="00C33203"/>
    <w:rsid w:val="00C35CEC"/>
    <w:rsid w:val="00C40265"/>
    <w:rsid w:val="00C40392"/>
    <w:rsid w:val="00C4312B"/>
    <w:rsid w:val="00C43C1D"/>
    <w:rsid w:val="00C43E6E"/>
    <w:rsid w:val="00C44B87"/>
    <w:rsid w:val="00C477F9"/>
    <w:rsid w:val="00C47E42"/>
    <w:rsid w:val="00C52A31"/>
    <w:rsid w:val="00C640CE"/>
    <w:rsid w:val="00C6591D"/>
    <w:rsid w:val="00C67259"/>
    <w:rsid w:val="00C7664E"/>
    <w:rsid w:val="00C77AF4"/>
    <w:rsid w:val="00C81DD3"/>
    <w:rsid w:val="00C83FB5"/>
    <w:rsid w:val="00C84B1D"/>
    <w:rsid w:val="00C86895"/>
    <w:rsid w:val="00C86C29"/>
    <w:rsid w:val="00C9377E"/>
    <w:rsid w:val="00C97F57"/>
    <w:rsid w:val="00CA43E4"/>
    <w:rsid w:val="00CA72F9"/>
    <w:rsid w:val="00CB165B"/>
    <w:rsid w:val="00CB1C9A"/>
    <w:rsid w:val="00CB2E5F"/>
    <w:rsid w:val="00CB712D"/>
    <w:rsid w:val="00CB7DD6"/>
    <w:rsid w:val="00CC1DCB"/>
    <w:rsid w:val="00CC43B1"/>
    <w:rsid w:val="00CD0E40"/>
    <w:rsid w:val="00CD2309"/>
    <w:rsid w:val="00CD3858"/>
    <w:rsid w:val="00CD41F4"/>
    <w:rsid w:val="00CD5206"/>
    <w:rsid w:val="00CD6586"/>
    <w:rsid w:val="00CE46DB"/>
    <w:rsid w:val="00CE76EE"/>
    <w:rsid w:val="00CF052B"/>
    <w:rsid w:val="00CF07A6"/>
    <w:rsid w:val="00CF3FAB"/>
    <w:rsid w:val="00D01805"/>
    <w:rsid w:val="00D024E1"/>
    <w:rsid w:val="00D02766"/>
    <w:rsid w:val="00D064DA"/>
    <w:rsid w:val="00D074FF"/>
    <w:rsid w:val="00D11639"/>
    <w:rsid w:val="00D14920"/>
    <w:rsid w:val="00D212DE"/>
    <w:rsid w:val="00D265FE"/>
    <w:rsid w:val="00D278A1"/>
    <w:rsid w:val="00D32B10"/>
    <w:rsid w:val="00D3396D"/>
    <w:rsid w:val="00D360DD"/>
    <w:rsid w:val="00D3701F"/>
    <w:rsid w:val="00D37D86"/>
    <w:rsid w:val="00D40AA6"/>
    <w:rsid w:val="00D40EE6"/>
    <w:rsid w:val="00D4718F"/>
    <w:rsid w:val="00D5074A"/>
    <w:rsid w:val="00D5504C"/>
    <w:rsid w:val="00D62F2F"/>
    <w:rsid w:val="00D63CDE"/>
    <w:rsid w:val="00D644C5"/>
    <w:rsid w:val="00D6559B"/>
    <w:rsid w:val="00D67669"/>
    <w:rsid w:val="00D729F2"/>
    <w:rsid w:val="00D72FDE"/>
    <w:rsid w:val="00D74F55"/>
    <w:rsid w:val="00D80F18"/>
    <w:rsid w:val="00D85DCD"/>
    <w:rsid w:val="00D87BC0"/>
    <w:rsid w:val="00D908FC"/>
    <w:rsid w:val="00D95715"/>
    <w:rsid w:val="00D97A65"/>
    <w:rsid w:val="00DA0706"/>
    <w:rsid w:val="00DA0F2E"/>
    <w:rsid w:val="00DA1977"/>
    <w:rsid w:val="00DB342A"/>
    <w:rsid w:val="00DC3296"/>
    <w:rsid w:val="00DC4404"/>
    <w:rsid w:val="00DD2BA1"/>
    <w:rsid w:val="00DD6348"/>
    <w:rsid w:val="00DD738C"/>
    <w:rsid w:val="00DE0AE9"/>
    <w:rsid w:val="00DE31F1"/>
    <w:rsid w:val="00DE3A26"/>
    <w:rsid w:val="00DE4581"/>
    <w:rsid w:val="00DE4D74"/>
    <w:rsid w:val="00DE76CA"/>
    <w:rsid w:val="00DF07E9"/>
    <w:rsid w:val="00DF5338"/>
    <w:rsid w:val="00DF6A6B"/>
    <w:rsid w:val="00E1061B"/>
    <w:rsid w:val="00E124EF"/>
    <w:rsid w:val="00E12B5E"/>
    <w:rsid w:val="00E14CD9"/>
    <w:rsid w:val="00E207AF"/>
    <w:rsid w:val="00E26148"/>
    <w:rsid w:val="00E31A6F"/>
    <w:rsid w:val="00E34257"/>
    <w:rsid w:val="00E34ADA"/>
    <w:rsid w:val="00E3514C"/>
    <w:rsid w:val="00E45DD4"/>
    <w:rsid w:val="00E50266"/>
    <w:rsid w:val="00E51E0E"/>
    <w:rsid w:val="00E553B5"/>
    <w:rsid w:val="00E55DF9"/>
    <w:rsid w:val="00E6062D"/>
    <w:rsid w:val="00E64B7A"/>
    <w:rsid w:val="00E64DD6"/>
    <w:rsid w:val="00E734FE"/>
    <w:rsid w:val="00E83B13"/>
    <w:rsid w:val="00E85EC3"/>
    <w:rsid w:val="00E95D20"/>
    <w:rsid w:val="00EA02A2"/>
    <w:rsid w:val="00EA180C"/>
    <w:rsid w:val="00EA1AED"/>
    <w:rsid w:val="00EA2BB9"/>
    <w:rsid w:val="00EB114B"/>
    <w:rsid w:val="00EB3D6F"/>
    <w:rsid w:val="00EB4982"/>
    <w:rsid w:val="00EB5CA0"/>
    <w:rsid w:val="00EB6F9E"/>
    <w:rsid w:val="00EC62C0"/>
    <w:rsid w:val="00ED3078"/>
    <w:rsid w:val="00ED72F1"/>
    <w:rsid w:val="00EE060F"/>
    <w:rsid w:val="00EE1DF5"/>
    <w:rsid w:val="00EE2498"/>
    <w:rsid w:val="00EE3597"/>
    <w:rsid w:val="00EF2353"/>
    <w:rsid w:val="00EF2CE1"/>
    <w:rsid w:val="00EF45B3"/>
    <w:rsid w:val="00F00935"/>
    <w:rsid w:val="00F017D8"/>
    <w:rsid w:val="00F06096"/>
    <w:rsid w:val="00F12D7A"/>
    <w:rsid w:val="00F13BAD"/>
    <w:rsid w:val="00F16D93"/>
    <w:rsid w:val="00F20733"/>
    <w:rsid w:val="00F22033"/>
    <w:rsid w:val="00F24277"/>
    <w:rsid w:val="00F24CC0"/>
    <w:rsid w:val="00F25275"/>
    <w:rsid w:val="00F30B09"/>
    <w:rsid w:val="00F34BEB"/>
    <w:rsid w:val="00F40ABA"/>
    <w:rsid w:val="00F55E4B"/>
    <w:rsid w:val="00F634DB"/>
    <w:rsid w:val="00F66D9A"/>
    <w:rsid w:val="00F66EF1"/>
    <w:rsid w:val="00F70E4E"/>
    <w:rsid w:val="00F72958"/>
    <w:rsid w:val="00F73DE8"/>
    <w:rsid w:val="00F7488D"/>
    <w:rsid w:val="00F772E8"/>
    <w:rsid w:val="00F806F1"/>
    <w:rsid w:val="00F80971"/>
    <w:rsid w:val="00F856AC"/>
    <w:rsid w:val="00F91C2F"/>
    <w:rsid w:val="00F950A4"/>
    <w:rsid w:val="00F96186"/>
    <w:rsid w:val="00FA2EE8"/>
    <w:rsid w:val="00FA56A4"/>
    <w:rsid w:val="00FB275F"/>
    <w:rsid w:val="00FB5D43"/>
    <w:rsid w:val="00FB7CBC"/>
    <w:rsid w:val="00FC3087"/>
    <w:rsid w:val="00FC3DBC"/>
    <w:rsid w:val="00FD0693"/>
    <w:rsid w:val="00FD1E5E"/>
    <w:rsid w:val="00FD3CBF"/>
    <w:rsid w:val="00FD3E90"/>
    <w:rsid w:val="00FD6111"/>
    <w:rsid w:val="00FD71ED"/>
    <w:rsid w:val="00FD75B6"/>
    <w:rsid w:val="00FE34C5"/>
    <w:rsid w:val="00FE4095"/>
    <w:rsid w:val="00FE4BFE"/>
    <w:rsid w:val="00FE4E09"/>
    <w:rsid w:val="00FE5AE8"/>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789FCFCE"/>
  <w15:chartTrackingRefBased/>
  <w15:docId w15:val="{8C1857D8-2045-437B-B2E5-36E8668D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US" w:eastAsia="en-US"/>
    </w:rPr>
  </w:style>
  <w:style w:type="paragraph" w:styleId="Heading1">
    <w:name w:val="heading 1"/>
    <w:basedOn w:val="Normal"/>
    <w:next w:val="Normal"/>
    <w:qFormat/>
    <w:pPr>
      <w:keepNext/>
      <w:outlineLvl w:val="0"/>
    </w:pPr>
    <w:rPr>
      <w:rFonts w:eastAsia="Times"/>
      <w:i/>
      <w:sz w:val="24"/>
    </w:rPr>
  </w:style>
  <w:style w:type="paragraph" w:styleId="Heading2">
    <w:name w:val="heading 2"/>
    <w:basedOn w:val="Normal"/>
    <w:next w:val="Normal"/>
    <w:qFormat/>
    <w:pPr>
      <w:keepNext/>
      <w:tabs>
        <w:tab w:val="left" w:pos="270"/>
      </w:tabs>
      <w:outlineLvl w:val="1"/>
    </w:pPr>
    <w:rPr>
      <w:sz w:val="24"/>
    </w:rPr>
  </w:style>
  <w:style w:type="paragraph" w:styleId="Heading3">
    <w:name w:val="heading 3"/>
    <w:basedOn w:val="Normal"/>
    <w:next w:val="Normal"/>
    <w:qFormat/>
    <w:pPr>
      <w:keepNext/>
      <w:jc w:val="center"/>
      <w:outlineLvl w:val="2"/>
    </w:pPr>
    <w:rPr>
      <w:rFonts w:ascii="Times New Roman MT Extra Bold" w:eastAsia="Times" w:hAnsi="Times New Roman MT Extra Bold"/>
      <w:b/>
      <w:sz w:val="34"/>
    </w:rPr>
  </w:style>
  <w:style w:type="paragraph" w:styleId="Heading4">
    <w:name w:val="heading 4"/>
    <w:basedOn w:val="Normal"/>
    <w:next w:val="Normal"/>
    <w:qFormat/>
    <w:pPr>
      <w:keepNext/>
      <w:tabs>
        <w:tab w:val="left" w:pos="720"/>
        <w:tab w:val="left" w:pos="2880"/>
        <w:tab w:val="left" w:pos="4320"/>
      </w:tabs>
      <w:jc w:val="center"/>
      <w:outlineLvl w:val="3"/>
    </w:pPr>
    <w:rPr>
      <w:b/>
      <w:sz w:val="24"/>
    </w:rPr>
  </w:style>
  <w:style w:type="paragraph" w:styleId="Heading5">
    <w:name w:val="heading 5"/>
    <w:basedOn w:val="Normal"/>
    <w:next w:val="Normal"/>
    <w:link w:val="Heading5Char"/>
    <w:qFormat/>
    <w:pPr>
      <w:keepNext/>
      <w:tabs>
        <w:tab w:val="right" w:pos="5490"/>
      </w:tabs>
      <w:spacing w:after="240" w:line="480" w:lineRule="auto"/>
      <w:outlineLvl w:val="4"/>
    </w:pPr>
    <w:rPr>
      <w:rFonts w:eastAsia="Times"/>
      <w:b/>
      <w:sz w:val="29"/>
    </w:rPr>
  </w:style>
  <w:style w:type="paragraph" w:styleId="Heading6">
    <w:name w:val="heading 6"/>
    <w:basedOn w:val="Normal"/>
    <w:next w:val="Normal"/>
    <w:qFormat/>
    <w:pPr>
      <w:keepNext/>
      <w:tabs>
        <w:tab w:val="left" w:pos="720"/>
        <w:tab w:val="left" w:pos="2880"/>
        <w:tab w:val="left" w:pos="4320"/>
      </w:tabs>
      <w:outlineLvl w:val="5"/>
    </w:pPr>
    <w:rPr>
      <w:color w:val="FF0000"/>
      <w:sz w:val="24"/>
    </w:rPr>
  </w:style>
  <w:style w:type="paragraph" w:styleId="Heading7">
    <w:name w:val="heading 7"/>
    <w:basedOn w:val="Normal"/>
    <w:next w:val="Normal"/>
    <w:qFormat/>
    <w:pPr>
      <w:keepNext/>
      <w:jc w:val="center"/>
      <w:outlineLvl w:val="6"/>
    </w:pPr>
    <w:rPr>
      <w:sz w:val="29"/>
    </w:rPr>
  </w:style>
  <w:style w:type="paragraph" w:styleId="Heading8">
    <w:name w:val="heading 8"/>
    <w:basedOn w:val="Normal"/>
    <w:next w:val="Normal"/>
    <w:qFormat/>
    <w:pPr>
      <w:keepNext/>
      <w:tabs>
        <w:tab w:val="left" w:pos="270"/>
      </w:tabs>
      <w:jc w:val="center"/>
      <w:outlineLvl w:val="7"/>
    </w:pPr>
    <w:rPr>
      <w:b/>
      <w:color w:val="FF0000"/>
      <w:sz w:val="24"/>
    </w:rPr>
  </w:style>
  <w:style w:type="paragraph" w:styleId="Heading9">
    <w:name w:val="heading 9"/>
    <w:basedOn w:val="Normal"/>
    <w:next w:val="Normal"/>
    <w:qFormat/>
    <w:pPr>
      <w:keepNext/>
      <w:tabs>
        <w:tab w:val="right" w:pos="5490"/>
      </w:tabs>
      <w:spacing w:after="240" w:line="480" w:lineRule="auto"/>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eastAsia="Times"/>
    </w:rPr>
  </w:style>
  <w:style w:type="paragraph" w:styleId="BodyTextIndent">
    <w:name w:val="Body Text Indent"/>
    <w:basedOn w:val="Normal"/>
    <w:pPr>
      <w:tabs>
        <w:tab w:val="left" w:pos="270"/>
      </w:tabs>
      <w:ind w:left="270" w:hanging="270"/>
    </w:pPr>
    <w:rPr>
      <w:rFonts w:ascii="Times New Roman MT Extra Bold" w:eastAsia="Times" w:hAnsi="Times New Roman MT Extra Bold"/>
      <w:sz w:val="29"/>
    </w:rPr>
  </w:style>
  <w:style w:type="paragraph" w:styleId="BodyTextIndent2">
    <w:name w:val="Body Text Indent 2"/>
    <w:basedOn w:val="Normal"/>
    <w:pPr>
      <w:tabs>
        <w:tab w:val="left" w:pos="450"/>
      </w:tabs>
      <w:spacing w:after="500"/>
      <w:ind w:left="450" w:hanging="450"/>
    </w:pPr>
    <w:rPr>
      <w:sz w:val="24"/>
    </w:rPr>
  </w:style>
  <w:style w:type="paragraph" w:styleId="BodyText2">
    <w:name w:val="Body Text 2"/>
    <w:basedOn w:val="Normal"/>
    <w:pPr>
      <w:tabs>
        <w:tab w:val="left" w:pos="270"/>
      </w:tabs>
      <w:jc w:val="center"/>
    </w:pPr>
    <w:rPr>
      <w:b/>
    </w:rPr>
  </w:style>
  <w:style w:type="paragraph" w:styleId="BodyTextIndent3">
    <w:name w:val="Body Text Indent 3"/>
    <w:basedOn w:val="Normal"/>
    <w:pPr>
      <w:tabs>
        <w:tab w:val="left" w:pos="450"/>
      </w:tabs>
      <w:spacing w:after="1900"/>
      <w:ind w:left="446" w:hanging="446"/>
    </w:pPr>
    <w:rPr>
      <w:sz w:val="24"/>
    </w:rPr>
  </w:style>
  <w:style w:type="paragraph" w:styleId="BodyText3">
    <w:name w:val="Body Text 3"/>
    <w:basedOn w:val="Normal"/>
    <w:pPr>
      <w:tabs>
        <w:tab w:val="left" w:pos="27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rPr>
      <w:sz w:val="18"/>
      <w:lang w:val="es-ES_tradnl"/>
    </w:rPr>
  </w:style>
  <w:style w:type="paragraph" w:styleId="BlockText">
    <w:name w:val="Block Text"/>
    <w:basedOn w:val="Normal"/>
    <w:pPr>
      <w:ind w:left="1080" w:right="1980"/>
    </w:pPr>
    <w:rPr>
      <w:bCs/>
      <w:color w:val="000000"/>
      <w:lang w:val="sv-SE"/>
    </w:rPr>
  </w:style>
  <w:style w:type="paragraph" w:styleId="CommentText">
    <w:name w:val="annotation text"/>
    <w:basedOn w:val="Normal"/>
    <w:semiHidden/>
    <w:pPr>
      <w:tabs>
        <w:tab w:val="left" w:pos="567"/>
      </w:tabs>
      <w:spacing w:line="260" w:lineRule="atLeast"/>
    </w:pPr>
    <w:rPr>
      <w:lang w:val="en-GB"/>
    </w:rPr>
  </w:style>
  <w:style w:type="paragraph" w:styleId="BalloonText">
    <w:name w:val="Balloon Text"/>
    <w:basedOn w:val="Normal"/>
    <w:semiHidden/>
    <w:rPr>
      <w:rFonts w:ascii="Tahoma" w:hAnsi="Tahoma" w:cs="Tahoma"/>
      <w:sz w:val="16"/>
      <w:szCs w:val="16"/>
    </w:rPr>
  </w:style>
  <w:style w:type="paragraph" w:customStyle="1" w:styleId="TitleA">
    <w:name w:val="Title A"/>
    <w:basedOn w:val="Heading5"/>
    <w:link w:val="TitleAChar"/>
    <w:rsid w:val="00B739DD"/>
    <w:pPr>
      <w:spacing w:line="240" w:lineRule="auto"/>
      <w:jc w:val="center"/>
    </w:pPr>
    <w:rPr>
      <w:sz w:val="22"/>
      <w:szCs w:val="22"/>
    </w:rPr>
  </w:style>
  <w:style w:type="paragraph" w:customStyle="1" w:styleId="TitleB">
    <w:name w:val="Title B"/>
    <w:basedOn w:val="Normal"/>
    <w:link w:val="TitleBChar"/>
    <w:rsid w:val="006210F1"/>
    <w:pPr>
      <w:ind w:left="567" w:hanging="567"/>
    </w:pPr>
    <w:rPr>
      <w:b/>
      <w:szCs w:val="22"/>
      <w:lang w:val="sv-SE"/>
    </w:rPr>
  </w:style>
  <w:style w:type="character" w:customStyle="1" w:styleId="TitleBChar">
    <w:name w:val="Title B Char"/>
    <w:link w:val="TitleB"/>
    <w:rsid w:val="006210F1"/>
    <w:rPr>
      <w:b/>
      <w:sz w:val="22"/>
      <w:szCs w:val="22"/>
      <w:lang w:val="sv-SE" w:eastAsia="en-US" w:bidi="ar-SA"/>
    </w:rPr>
  </w:style>
  <w:style w:type="table" w:styleId="TableGrid">
    <w:name w:val="Table Grid"/>
    <w:basedOn w:val="TableNormal"/>
    <w:rsid w:val="000B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558B"/>
    <w:rPr>
      <w:color w:val="606420"/>
      <w:u w:val="single"/>
    </w:rPr>
  </w:style>
  <w:style w:type="paragraph" w:styleId="BodyTextFirstIndent">
    <w:name w:val="Body Text First Indent"/>
    <w:basedOn w:val="BodyText"/>
    <w:rsid w:val="008F558B"/>
    <w:pPr>
      <w:spacing w:after="120"/>
      <w:ind w:firstLine="210"/>
    </w:pPr>
    <w:rPr>
      <w:rFonts w:eastAsia="Times New Roman"/>
    </w:rPr>
  </w:style>
  <w:style w:type="paragraph" w:styleId="BodyTextFirstIndent2">
    <w:name w:val="Body Text First Indent 2"/>
    <w:basedOn w:val="BodyTextIndent"/>
    <w:rsid w:val="008F558B"/>
    <w:pPr>
      <w:tabs>
        <w:tab w:val="clear" w:pos="270"/>
      </w:tabs>
      <w:spacing w:after="120"/>
      <w:ind w:left="283" w:firstLine="210"/>
    </w:pPr>
    <w:rPr>
      <w:rFonts w:ascii="Times New Roman" w:eastAsia="Times New Roman" w:hAnsi="Times New Roman"/>
      <w:sz w:val="22"/>
    </w:rPr>
  </w:style>
  <w:style w:type="paragraph" w:styleId="Caption">
    <w:name w:val="caption"/>
    <w:basedOn w:val="Normal"/>
    <w:next w:val="Normal"/>
    <w:qFormat/>
    <w:rsid w:val="008F558B"/>
    <w:rPr>
      <w:b/>
      <w:bCs/>
      <w:sz w:val="20"/>
    </w:rPr>
  </w:style>
  <w:style w:type="paragraph" w:styleId="Closing">
    <w:name w:val="Closing"/>
    <w:basedOn w:val="Normal"/>
    <w:rsid w:val="008F558B"/>
    <w:pPr>
      <w:ind w:left="4252"/>
    </w:pPr>
  </w:style>
  <w:style w:type="paragraph" w:styleId="CommentSubject">
    <w:name w:val="annotation subject"/>
    <w:basedOn w:val="CommentText"/>
    <w:next w:val="CommentText"/>
    <w:semiHidden/>
    <w:rsid w:val="008F558B"/>
    <w:pPr>
      <w:tabs>
        <w:tab w:val="clear" w:pos="567"/>
      </w:tabs>
      <w:spacing w:line="240" w:lineRule="auto"/>
    </w:pPr>
    <w:rPr>
      <w:b/>
      <w:bCs/>
      <w:sz w:val="20"/>
      <w:lang w:val="en-US"/>
    </w:rPr>
  </w:style>
  <w:style w:type="paragraph" w:styleId="Date">
    <w:name w:val="Date"/>
    <w:basedOn w:val="Normal"/>
    <w:next w:val="Normal"/>
    <w:rsid w:val="008F558B"/>
  </w:style>
  <w:style w:type="paragraph" w:styleId="DocumentMap">
    <w:name w:val="Document Map"/>
    <w:basedOn w:val="Normal"/>
    <w:semiHidden/>
    <w:rsid w:val="008F558B"/>
    <w:pPr>
      <w:shd w:val="clear" w:color="auto" w:fill="000080"/>
    </w:pPr>
    <w:rPr>
      <w:rFonts w:ascii="Tahoma" w:hAnsi="Tahoma" w:cs="Tahoma"/>
      <w:sz w:val="20"/>
    </w:rPr>
  </w:style>
  <w:style w:type="paragraph" w:styleId="E-mailSignature">
    <w:name w:val="E-mail Signature"/>
    <w:basedOn w:val="Normal"/>
    <w:rsid w:val="008F558B"/>
  </w:style>
  <w:style w:type="paragraph" w:styleId="EnvelopeAddress">
    <w:name w:val="envelope address"/>
    <w:basedOn w:val="Normal"/>
    <w:rsid w:val="008F55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F558B"/>
    <w:rPr>
      <w:rFonts w:ascii="Arial" w:hAnsi="Arial" w:cs="Arial"/>
      <w:sz w:val="20"/>
    </w:rPr>
  </w:style>
  <w:style w:type="paragraph" w:styleId="FootnoteText">
    <w:name w:val="footnote text"/>
    <w:basedOn w:val="Normal"/>
    <w:semiHidden/>
    <w:rsid w:val="008F558B"/>
    <w:rPr>
      <w:sz w:val="20"/>
    </w:rPr>
  </w:style>
  <w:style w:type="paragraph" w:styleId="HTMLAddress">
    <w:name w:val="HTML Address"/>
    <w:basedOn w:val="Normal"/>
    <w:rsid w:val="008F558B"/>
    <w:rPr>
      <w:i/>
      <w:iCs/>
    </w:rPr>
  </w:style>
  <w:style w:type="paragraph" w:styleId="HTMLPreformatted">
    <w:name w:val="HTML Preformatted"/>
    <w:basedOn w:val="Normal"/>
    <w:rsid w:val="008F558B"/>
    <w:rPr>
      <w:rFonts w:ascii="Courier New" w:hAnsi="Courier New" w:cs="Courier New"/>
      <w:sz w:val="20"/>
    </w:rPr>
  </w:style>
  <w:style w:type="paragraph" w:styleId="Index1">
    <w:name w:val="index 1"/>
    <w:basedOn w:val="Normal"/>
    <w:next w:val="Normal"/>
    <w:autoRedefine/>
    <w:semiHidden/>
    <w:rsid w:val="008F558B"/>
    <w:pPr>
      <w:ind w:left="220" w:hanging="220"/>
    </w:pPr>
  </w:style>
  <w:style w:type="paragraph" w:styleId="Index2">
    <w:name w:val="index 2"/>
    <w:basedOn w:val="Normal"/>
    <w:next w:val="Normal"/>
    <w:autoRedefine/>
    <w:semiHidden/>
    <w:rsid w:val="008F558B"/>
    <w:pPr>
      <w:ind w:left="440" w:hanging="220"/>
    </w:pPr>
  </w:style>
  <w:style w:type="paragraph" w:styleId="Index3">
    <w:name w:val="index 3"/>
    <w:basedOn w:val="Normal"/>
    <w:next w:val="Normal"/>
    <w:autoRedefine/>
    <w:semiHidden/>
    <w:rsid w:val="008F558B"/>
    <w:pPr>
      <w:ind w:left="660" w:hanging="220"/>
    </w:pPr>
  </w:style>
  <w:style w:type="paragraph" w:styleId="Index4">
    <w:name w:val="index 4"/>
    <w:basedOn w:val="Normal"/>
    <w:next w:val="Normal"/>
    <w:autoRedefine/>
    <w:semiHidden/>
    <w:rsid w:val="008F558B"/>
    <w:pPr>
      <w:ind w:left="880" w:hanging="220"/>
    </w:pPr>
  </w:style>
  <w:style w:type="paragraph" w:styleId="Index5">
    <w:name w:val="index 5"/>
    <w:basedOn w:val="Normal"/>
    <w:next w:val="Normal"/>
    <w:autoRedefine/>
    <w:semiHidden/>
    <w:rsid w:val="008F558B"/>
    <w:pPr>
      <w:ind w:left="1100" w:hanging="220"/>
    </w:pPr>
  </w:style>
  <w:style w:type="paragraph" w:styleId="Index6">
    <w:name w:val="index 6"/>
    <w:basedOn w:val="Normal"/>
    <w:next w:val="Normal"/>
    <w:autoRedefine/>
    <w:semiHidden/>
    <w:rsid w:val="008F558B"/>
    <w:pPr>
      <w:ind w:left="1320" w:hanging="220"/>
    </w:pPr>
  </w:style>
  <w:style w:type="paragraph" w:styleId="Index7">
    <w:name w:val="index 7"/>
    <w:basedOn w:val="Normal"/>
    <w:next w:val="Normal"/>
    <w:autoRedefine/>
    <w:semiHidden/>
    <w:rsid w:val="008F558B"/>
    <w:pPr>
      <w:ind w:left="1540" w:hanging="220"/>
    </w:pPr>
  </w:style>
  <w:style w:type="paragraph" w:styleId="Index8">
    <w:name w:val="index 8"/>
    <w:basedOn w:val="Normal"/>
    <w:next w:val="Normal"/>
    <w:autoRedefine/>
    <w:semiHidden/>
    <w:rsid w:val="008F558B"/>
    <w:pPr>
      <w:ind w:left="1760" w:hanging="220"/>
    </w:pPr>
  </w:style>
  <w:style w:type="paragraph" w:styleId="Index9">
    <w:name w:val="index 9"/>
    <w:basedOn w:val="Normal"/>
    <w:next w:val="Normal"/>
    <w:autoRedefine/>
    <w:semiHidden/>
    <w:rsid w:val="008F558B"/>
    <w:pPr>
      <w:ind w:left="1980" w:hanging="220"/>
    </w:pPr>
  </w:style>
  <w:style w:type="paragraph" w:styleId="IndexHeading">
    <w:name w:val="index heading"/>
    <w:basedOn w:val="Normal"/>
    <w:next w:val="Index1"/>
    <w:semiHidden/>
    <w:rsid w:val="008F558B"/>
    <w:rPr>
      <w:rFonts w:ascii="Arial" w:hAnsi="Arial" w:cs="Arial"/>
      <w:b/>
      <w:bCs/>
    </w:rPr>
  </w:style>
  <w:style w:type="paragraph" w:styleId="List">
    <w:name w:val="List"/>
    <w:basedOn w:val="Normal"/>
    <w:rsid w:val="008F558B"/>
    <w:pPr>
      <w:ind w:left="283" w:hanging="283"/>
    </w:pPr>
  </w:style>
  <w:style w:type="paragraph" w:styleId="List2">
    <w:name w:val="List 2"/>
    <w:basedOn w:val="Normal"/>
    <w:rsid w:val="008F558B"/>
    <w:pPr>
      <w:ind w:left="566" w:hanging="283"/>
    </w:pPr>
  </w:style>
  <w:style w:type="paragraph" w:styleId="List3">
    <w:name w:val="List 3"/>
    <w:basedOn w:val="Normal"/>
    <w:rsid w:val="008F558B"/>
    <w:pPr>
      <w:ind w:left="849" w:hanging="283"/>
    </w:pPr>
  </w:style>
  <w:style w:type="paragraph" w:styleId="List4">
    <w:name w:val="List 4"/>
    <w:basedOn w:val="Normal"/>
    <w:rsid w:val="008F558B"/>
    <w:pPr>
      <w:ind w:left="1132" w:hanging="283"/>
    </w:pPr>
  </w:style>
  <w:style w:type="paragraph" w:styleId="List5">
    <w:name w:val="List 5"/>
    <w:basedOn w:val="Normal"/>
    <w:rsid w:val="008F558B"/>
    <w:pPr>
      <w:ind w:left="1415" w:hanging="283"/>
    </w:pPr>
  </w:style>
  <w:style w:type="paragraph" w:styleId="ListBullet">
    <w:name w:val="List Bullet"/>
    <w:basedOn w:val="Normal"/>
    <w:rsid w:val="008F558B"/>
    <w:pPr>
      <w:numPr>
        <w:numId w:val="31"/>
      </w:numPr>
    </w:pPr>
  </w:style>
  <w:style w:type="paragraph" w:styleId="ListBullet2">
    <w:name w:val="List Bullet 2"/>
    <w:basedOn w:val="Normal"/>
    <w:rsid w:val="008F558B"/>
    <w:pPr>
      <w:numPr>
        <w:numId w:val="32"/>
      </w:numPr>
    </w:pPr>
  </w:style>
  <w:style w:type="paragraph" w:styleId="ListBullet3">
    <w:name w:val="List Bullet 3"/>
    <w:basedOn w:val="Normal"/>
    <w:rsid w:val="008F558B"/>
    <w:pPr>
      <w:numPr>
        <w:numId w:val="33"/>
      </w:numPr>
    </w:pPr>
  </w:style>
  <w:style w:type="paragraph" w:styleId="ListBullet4">
    <w:name w:val="List Bullet 4"/>
    <w:basedOn w:val="Normal"/>
    <w:rsid w:val="008F558B"/>
    <w:pPr>
      <w:numPr>
        <w:numId w:val="34"/>
      </w:numPr>
    </w:pPr>
  </w:style>
  <w:style w:type="paragraph" w:styleId="ListBullet5">
    <w:name w:val="List Bullet 5"/>
    <w:basedOn w:val="Normal"/>
    <w:rsid w:val="008F558B"/>
    <w:pPr>
      <w:numPr>
        <w:numId w:val="35"/>
      </w:numPr>
    </w:pPr>
  </w:style>
  <w:style w:type="paragraph" w:styleId="ListContinue">
    <w:name w:val="List Continue"/>
    <w:basedOn w:val="Normal"/>
    <w:rsid w:val="008F558B"/>
    <w:pPr>
      <w:spacing w:after="120"/>
      <w:ind w:left="283"/>
    </w:pPr>
  </w:style>
  <w:style w:type="paragraph" w:styleId="ListContinue2">
    <w:name w:val="List Continue 2"/>
    <w:basedOn w:val="Normal"/>
    <w:rsid w:val="008F558B"/>
    <w:pPr>
      <w:spacing w:after="120"/>
      <w:ind w:left="566"/>
    </w:pPr>
  </w:style>
  <w:style w:type="paragraph" w:styleId="ListContinue3">
    <w:name w:val="List Continue 3"/>
    <w:basedOn w:val="Normal"/>
    <w:rsid w:val="008F558B"/>
    <w:pPr>
      <w:spacing w:after="120"/>
      <w:ind w:left="849"/>
    </w:pPr>
  </w:style>
  <w:style w:type="paragraph" w:styleId="ListContinue4">
    <w:name w:val="List Continue 4"/>
    <w:basedOn w:val="Normal"/>
    <w:rsid w:val="008F558B"/>
    <w:pPr>
      <w:spacing w:after="120"/>
      <w:ind w:left="1132"/>
    </w:pPr>
  </w:style>
  <w:style w:type="paragraph" w:styleId="ListContinue5">
    <w:name w:val="List Continue 5"/>
    <w:basedOn w:val="Normal"/>
    <w:rsid w:val="008F558B"/>
    <w:pPr>
      <w:spacing w:after="120"/>
      <w:ind w:left="1415"/>
    </w:pPr>
  </w:style>
  <w:style w:type="paragraph" w:styleId="ListNumber">
    <w:name w:val="List Number"/>
    <w:basedOn w:val="Normal"/>
    <w:rsid w:val="008F558B"/>
    <w:pPr>
      <w:numPr>
        <w:numId w:val="36"/>
      </w:numPr>
    </w:pPr>
  </w:style>
  <w:style w:type="paragraph" w:styleId="ListNumber2">
    <w:name w:val="List Number 2"/>
    <w:basedOn w:val="Normal"/>
    <w:rsid w:val="008F558B"/>
    <w:pPr>
      <w:numPr>
        <w:numId w:val="37"/>
      </w:numPr>
    </w:pPr>
  </w:style>
  <w:style w:type="paragraph" w:styleId="ListNumber3">
    <w:name w:val="List Number 3"/>
    <w:basedOn w:val="Normal"/>
    <w:rsid w:val="008F558B"/>
    <w:pPr>
      <w:numPr>
        <w:numId w:val="38"/>
      </w:numPr>
    </w:pPr>
  </w:style>
  <w:style w:type="paragraph" w:styleId="ListNumber4">
    <w:name w:val="List Number 4"/>
    <w:basedOn w:val="Normal"/>
    <w:rsid w:val="008F558B"/>
    <w:pPr>
      <w:numPr>
        <w:numId w:val="39"/>
      </w:numPr>
    </w:pPr>
  </w:style>
  <w:style w:type="paragraph" w:styleId="ListNumber5">
    <w:name w:val="List Number 5"/>
    <w:basedOn w:val="Normal"/>
    <w:rsid w:val="008F558B"/>
    <w:pPr>
      <w:numPr>
        <w:numId w:val="40"/>
      </w:numPr>
    </w:pPr>
  </w:style>
  <w:style w:type="paragraph" w:styleId="MacroText">
    <w:name w:val="macro"/>
    <w:semiHidden/>
    <w:rsid w:val="008F55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8F55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8F558B"/>
    <w:rPr>
      <w:sz w:val="24"/>
      <w:szCs w:val="24"/>
    </w:rPr>
  </w:style>
  <w:style w:type="paragraph" w:styleId="NormalIndent">
    <w:name w:val="Normal Indent"/>
    <w:basedOn w:val="Normal"/>
    <w:rsid w:val="008F558B"/>
    <w:pPr>
      <w:ind w:left="720"/>
    </w:pPr>
  </w:style>
  <w:style w:type="paragraph" w:styleId="NoteHeading">
    <w:name w:val="Note Heading"/>
    <w:basedOn w:val="Normal"/>
    <w:next w:val="Normal"/>
    <w:rsid w:val="008F558B"/>
  </w:style>
  <w:style w:type="paragraph" w:styleId="PlainText">
    <w:name w:val="Plain Text"/>
    <w:basedOn w:val="Normal"/>
    <w:rsid w:val="008F558B"/>
    <w:rPr>
      <w:rFonts w:ascii="Courier New" w:hAnsi="Courier New" w:cs="Courier New"/>
      <w:sz w:val="20"/>
    </w:rPr>
  </w:style>
  <w:style w:type="paragraph" w:styleId="Salutation">
    <w:name w:val="Salutation"/>
    <w:basedOn w:val="Normal"/>
    <w:next w:val="Normal"/>
    <w:rsid w:val="008F558B"/>
  </w:style>
  <w:style w:type="paragraph" w:styleId="Signature">
    <w:name w:val="Signature"/>
    <w:basedOn w:val="Normal"/>
    <w:rsid w:val="008F558B"/>
    <w:pPr>
      <w:ind w:left="4252"/>
    </w:pPr>
  </w:style>
  <w:style w:type="paragraph" w:styleId="Subtitle">
    <w:name w:val="Subtitle"/>
    <w:basedOn w:val="Normal"/>
    <w:qFormat/>
    <w:rsid w:val="008F55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F558B"/>
    <w:pPr>
      <w:ind w:left="220" w:hanging="220"/>
    </w:pPr>
  </w:style>
  <w:style w:type="paragraph" w:styleId="TableofFigures">
    <w:name w:val="table of figures"/>
    <w:basedOn w:val="Normal"/>
    <w:next w:val="Normal"/>
    <w:semiHidden/>
    <w:rsid w:val="008F558B"/>
  </w:style>
  <w:style w:type="paragraph" w:styleId="Title">
    <w:name w:val="Title"/>
    <w:basedOn w:val="Normal"/>
    <w:qFormat/>
    <w:rsid w:val="008F55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558B"/>
    <w:pPr>
      <w:spacing w:before="120"/>
    </w:pPr>
    <w:rPr>
      <w:rFonts w:ascii="Arial" w:hAnsi="Arial" w:cs="Arial"/>
      <w:b/>
      <w:bCs/>
      <w:sz w:val="24"/>
      <w:szCs w:val="24"/>
    </w:rPr>
  </w:style>
  <w:style w:type="paragraph" w:styleId="TOC1">
    <w:name w:val="toc 1"/>
    <w:basedOn w:val="Normal"/>
    <w:next w:val="Normal"/>
    <w:autoRedefine/>
    <w:semiHidden/>
    <w:rsid w:val="008F558B"/>
  </w:style>
  <w:style w:type="paragraph" w:styleId="TOC2">
    <w:name w:val="toc 2"/>
    <w:basedOn w:val="Normal"/>
    <w:next w:val="Normal"/>
    <w:autoRedefine/>
    <w:semiHidden/>
    <w:rsid w:val="008F558B"/>
    <w:pPr>
      <w:ind w:left="220"/>
    </w:pPr>
  </w:style>
  <w:style w:type="paragraph" w:styleId="TOC3">
    <w:name w:val="toc 3"/>
    <w:basedOn w:val="Normal"/>
    <w:next w:val="Normal"/>
    <w:autoRedefine/>
    <w:semiHidden/>
    <w:rsid w:val="008F558B"/>
    <w:pPr>
      <w:ind w:left="440"/>
    </w:pPr>
  </w:style>
  <w:style w:type="paragraph" w:styleId="TOC4">
    <w:name w:val="toc 4"/>
    <w:basedOn w:val="Normal"/>
    <w:next w:val="Normal"/>
    <w:autoRedefine/>
    <w:semiHidden/>
    <w:rsid w:val="008F558B"/>
    <w:pPr>
      <w:ind w:left="660"/>
    </w:pPr>
  </w:style>
  <w:style w:type="paragraph" w:styleId="TOC5">
    <w:name w:val="toc 5"/>
    <w:basedOn w:val="Normal"/>
    <w:next w:val="Normal"/>
    <w:autoRedefine/>
    <w:semiHidden/>
    <w:rsid w:val="008F558B"/>
    <w:pPr>
      <w:ind w:left="880"/>
    </w:pPr>
  </w:style>
  <w:style w:type="paragraph" w:styleId="TOC6">
    <w:name w:val="toc 6"/>
    <w:basedOn w:val="Normal"/>
    <w:next w:val="Normal"/>
    <w:autoRedefine/>
    <w:semiHidden/>
    <w:rsid w:val="008F558B"/>
    <w:pPr>
      <w:ind w:left="1100"/>
    </w:pPr>
  </w:style>
  <w:style w:type="paragraph" w:styleId="TOC7">
    <w:name w:val="toc 7"/>
    <w:basedOn w:val="Normal"/>
    <w:next w:val="Normal"/>
    <w:autoRedefine/>
    <w:semiHidden/>
    <w:rsid w:val="008F558B"/>
    <w:pPr>
      <w:ind w:left="1320"/>
    </w:pPr>
  </w:style>
  <w:style w:type="paragraph" w:styleId="TOC8">
    <w:name w:val="toc 8"/>
    <w:basedOn w:val="Normal"/>
    <w:next w:val="Normal"/>
    <w:autoRedefine/>
    <w:semiHidden/>
    <w:rsid w:val="008F558B"/>
    <w:pPr>
      <w:ind w:left="1540"/>
    </w:pPr>
  </w:style>
  <w:style w:type="paragraph" w:styleId="TOC9">
    <w:name w:val="toc 9"/>
    <w:basedOn w:val="Normal"/>
    <w:next w:val="Normal"/>
    <w:autoRedefine/>
    <w:semiHidden/>
    <w:rsid w:val="008F558B"/>
    <w:pPr>
      <w:ind w:left="1760"/>
    </w:pPr>
  </w:style>
  <w:style w:type="paragraph" w:styleId="Bibliography">
    <w:name w:val="Bibliography"/>
    <w:basedOn w:val="Normal"/>
    <w:next w:val="Normal"/>
    <w:uiPriority w:val="37"/>
    <w:semiHidden/>
    <w:unhideWhenUsed/>
    <w:rsid w:val="00EA180C"/>
  </w:style>
  <w:style w:type="paragraph" w:styleId="IntenseQuote">
    <w:name w:val="Intense Quote"/>
    <w:basedOn w:val="Normal"/>
    <w:next w:val="Normal"/>
    <w:link w:val="IntenseQuoteChar"/>
    <w:uiPriority w:val="30"/>
    <w:qFormat/>
    <w:rsid w:val="00EA180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A180C"/>
    <w:rPr>
      <w:b/>
      <w:bCs/>
      <w:i/>
      <w:iCs/>
      <w:color w:val="4F81BD"/>
      <w:sz w:val="22"/>
      <w:lang w:val="en-US" w:eastAsia="en-US"/>
    </w:rPr>
  </w:style>
  <w:style w:type="paragraph" w:styleId="ListParagraph">
    <w:name w:val="List Paragraph"/>
    <w:basedOn w:val="Normal"/>
    <w:link w:val="ListParagraphChar"/>
    <w:uiPriority w:val="34"/>
    <w:qFormat/>
    <w:rsid w:val="00EA180C"/>
    <w:pPr>
      <w:ind w:left="1304"/>
    </w:pPr>
  </w:style>
  <w:style w:type="paragraph" w:styleId="NoSpacing">
    <w:name w:val="No Spacing"/>
    <w:uiPriority w:val="1"/>
    <w:qFormat/>
    <w:rsid w:val="00EA180C"/>
    <w:rPr>
      <w:sz w:val="22"/>
      <w:lang w:val="en-US" w:eastAsia="en-US"/>
    </w:rPr>
  </w:style>
  <w:style w:type="paragraph" w:styleId="Quote">
    <w:name w:val="Quote"/>
    <w:basedOn w:val="Normal"/>
    <w:next w:val="Normal"/>
    <w:link w:val="QuoteChar"/>
    <w:uiPriority w:val="29"/>
    <w:qFormat/>
    <w:rsid w:val="00EA180C"/>
    <w:rPr>
      <w:i/>
      <w:iCs/>
      <w:color w:val="000000"/>
    </w:rPr>
  </w:style>
  <w:style w:type="character" w:customStyle="1" w:styleId="QuoteChar">
    <w:name w:val="Quote Char"/>
    <w:link w:val="Quote"/>
    <w:uiPriority w:val="29"/>
    <w:rsid w:val="00EA180C"/>
    <w:rPr>
      <w:i/>
      <w:iCs/>
      <w:color w:val="000000"/>
      <w:sz w:val="22"/>
      <w:lang w:val="en-US" w:eastAsia="en-US"/>
    </w:rPr>
  </w:style>
  <w:style w:type="paragraph" w:styleId="TOCHeading">
    <w:name w:val="TOC Heading"/>
    <w:basedOn w:val="Heading1"/>
    <w:next w:val="Normal"/>
    <w:uiPriority w:val="39"/>
    <w:qFormat/>
    <w:rsid w:val="00EA180C"/>
    <w:pPr>
      <w:spacing w:before="240" w:after="60"/>
      <w:outlineLvl w:val="9"/>
    </w:pPr>
    <w:rPr>
      <w:rFonts w:ascii="Cambria" w:eastAsia="Times New Roman" w:hAnsi="Cambria"/>
      <w:b/>
      <w:bCs/>
      <w:i w:val="0"/>
      <w:kern w:val="32"/>
      <w:sz w:val="32"/>
      <w:szCs w:val="32"/>
    </w:rPr>
  </w:style>
  <w:style w:type="paragraph" w:customStyle="1" w:styleId="TitleAx">
    <w:name w:val="Title Ax"/>
    <w:basedOn w:val="TitleA"/>
    <w:link w:val="TitleAxChar1"/>
    <w:qFormat/>
    <w:rsid w:val="0084420C"/>
  </w:style>
  <w:style w:type="paragraph" w:customStyle="1" w:styleId="TitleBx">
    <w:name w:val="Title Bx"/>
    <w:basedOn w:val="TitleB"/>
    <w:link w:val="TitleBxChar"/>
    <w:qFormat/>
    <w:rsid w:val="0084420C"/>
  </w:style>
  <w:style w:type="character" w:customStyle="1" w:styleId="Heading5Char">
    <w:name w:val="Heading 5 Char"/>
    <w:link w:val="Heading5"/>
    <w:rsid w:val="0084420C"/>
    <w:rPr>
      <w:rFonts w:eastAsia="Times"/>
      <w:b/>
      <w:sz w:val="29"/>
      <w:lang w:val="en-US" w:eastAsia="en-US"/>
    </w:rPr>
  </w:style>
  <w:style w:type="character" w:customStyle="1" w:styleId="TitleAChar">
    <w:name w:val="Title A Char"/>
    <w:link w:val="TitleA"/>
    <w:rsid w:val="0084420C"/>
    <w:rPr>
      <w:rFonts w:eastAsia="Times"/>
      <w:b/>
      <w:sz w:val="22"/>
      <w:szCs w:val="22"/>
      <w:lang w:val="en-US" w:eastAsia="en-US"/>
    </w:rPr>
  </w:style>
  <w:style w:type="character" w:customStyle="1" w:styleId="TitleAxChar">
    <w:name w:val="Title Ax Char"/>
    <w:rsid w:val="0084420C"/>
    <w:rPr>
      <w:rFonts w:eastAsia="Times"/>
      <w:b/>
      <w:sz w:val="22"/>
      <w:szCs w:val="22"/>
      <w:lang w:val="en-US" w:eastAsia="en-US"/>
    </w:rPr>
  </w:style>
  <w:style w:type="character" w:styleId="Hyperlink">
    <w:name w:val="Hyperlink"/>
    <w:rsid w:val="003964ED"/>
    <w:rPr>
      <w:color w:val="0000FF"/>
      <w:u w:val="single"/>
    </w:rPr>
  </w:style>
  <w:style w:type="character" w:customStyle="1" w:styleId="TitleBxChar">
    <w:name w:val="Title Bx Char"/>
    <w:link w:val="TitleBx"/>
    <w:rsid w:val="0084420C"/>
    <w:rPr>
      <w:b/>
      <w:sz w:val="22"/>
      <w:szCs w:val="22"/>
      <w:lang w:val="sv-SE" w:eastAsia="en-US" w:bidi="ar-SA"/>
    </w:rPr>
  </w:style>
  <w:style w:type="paragraph" w:customStyle="1" w:styleId="AAA">
    <w:name w:val="AAA"/>
    <w:basedOn w:val="TitleAx"/>
    <w:link w:val="AAAChar"/>
    <w:qFormat/>
    <w:rsid w:val="00874289"/>
  </w:style>
  <w:style w:type="paragraph" w:customStyle="1" w:styleId="BBB">
    <w:name w:val="BBB"/>
    <w:basedOn w:val="TitleBx"/>
    <w:link w:val="BBBChar"/>
    <w:qFormat/>
    <w:rsid w:val="00874289"/>
  </w:style>
  <w:style w:type="character" w:customStyle="1" w:styleId="TitleAxChar1">
    <w:name w:val="Title Ax Char1"/>
    <w:link w:val="TitleAx"/>
    <w:rsid w:val="00874289"/>
    <w:rPr>
      <w:rFonts w:eastAsia="Times"/>
      <w:b/>
      <w:sz w:val="22"/>
      <w:szCs w:val="22"/>
      <w:lang w:val="en-US" w:eastAsia="en-US"/>
    </w:rPr>
  </w:style>
  <w:style w:type="character" w:customStyle="1" w:styleId="AAAChar">
    <w:name w:val="AAA Char"/>
    <w:link w:val="AAA"/>
    <w:rsid w:val="00874289"/>
    <w:rPr>
      <w:rFonts w:eastAsia="Times"/>
      <w:b/>
      <w:sz w:val="22"/>
      <w:szCs w:val="22"/>
      <w:lang w:val="en-US" w:eastAsia="en-US"/>
    </w:rPr>
  </w:style>
  <w:style w:type="character" w:styleId="CommentReference">
    <w:name w:val="annotation reference"/>
    <w:rsid w:val="005B4387"/>
    <w:rPr>
      <w:sz w:val="16"/>
      <w:szCs w:val="16"/>
    </w:rPr>
  </w:style>
  <w:style w:type="character" w:customStyle="1" w:styleId="BBBChar">
    <w:name w:val="BBB Char"/>
    <w:link w:val="BBB"/>
    <w:rsid w:val="00874289"/>
    <w:rPr>
      <w:b/>
      <w:sz w:val="22"/>
      <w:szCs w:val="22"/>
      <w:lang w:val="sv-SE" w:eastAsia="en-US" w:bidi="ar-SA"/>
    </w:rPr>
  </w:style>
  <w:style w:type="paragraph" w:styleId="Revision">
    <w:name w:val="Revision"/>
    <w:hidden/>
    <w:uiPriority w:val="99"/>
    <w:semiHidden/>
    <w:rsid w:val="0065734B"/>
    <w:rPr>
      <w:sz w:val="22"/>
      <w:lang w:val="en-US" w:eastAsia="en-US"/>
    </w:rPr>
  </w:style>
  <w:style w:type="character" w:customStyle="1" w:styleId="Hyperlnk1">
    <w:name w:val="Hyperlänk1"/>
    <w:uiPriority w:val="99"/>
    <w:rsid w:val="00546C2E"/>
    <w:rPr>
      <w:color w:val="0000FF"/>
      <w:u w:val="single"/>
    </w:rPr>
  </w:style>
  <w:style w:type="character" w:customStyle="1" w:styleId="UnresolvedMention1">
    <w:name w:val="Unresolved Mention1"/>
    <w:uiPriority w:val="99"/>
    <w:semiHidden/>
    <w:unhideWhenUsed/>
    <w:rsid w:val="00546C2E"/>
    <w:rPr>
      <w:color w:val="605E5C"/>
      <w:shd w:val="clear" w:color="auto" w:fill="E1DFDD"/>
    </w:rPr>
  </w:style>
  <w:style w:type="paragraph" w:customStyle="1" w:styleId="Default">
    <w:name w:val="Default"/>
    <w:rsid w:val="00D644C5"/>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34"/>
    <w:locked/>
    <w:rsid w:val="003E6E7A"/>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193">
      <w:bodyDiv w:val="1"/>
      <w:marLeft w:val="0"/>
      <w:marRight w:val="0"/>
      <w:marTop w:val="0"/>
      <w:marBottom w:val="0"/>
      <w:divBdr>
        <w:top w:val="none" w:sz="0" w:space="0" w:color="auto"/>
        <w:left w:val="none" w:sz="0" w:space="0" w:color="auto"/>
        <w:bottom w:val="none" w:sz="0" w:space="0" w:color="auto"/>
        <w:right w:val="none" w:sz="0" w:space="0" w:color="auto"/>
      </w:divBdr>
    </w:div>
    <w:div w:id="246617370">
      <w:bodyDiv w:val="1"/>
      <w:marLeft w:val="0"/>
      <w:marRight w:val="0"/>
      <w:marTop w:val="0"/>
      <w:marBottom w:val="0"/>
      <w:divBdr>
        <w:top w:val="none" w:sz="0" w:space="0" w:color="auto"/>
        <w:left w:val="none" w:sz="0" w:space="0" w:color="auto"/>
        <w:bottom w:val="none" w:sz="0" w:space="0" w:color="auto"/>
        <w:right w:val="none" w:sz="0" w:space="0" w:color="auto"/>
      </w:divBdr>
    </w:div>
    <w:div w:id="249124313">
      <w:bodyDiv w:val="1"/>
      <w:marLeft w:val="0"/>
      <w:marRight w:val="0"/>
      <w:marTop w:val="0"/>
      <w:marBottom w:val="0"/>
      <w:divBdr>
        <w:top w:val="none" w:sz="0" w:space="0" w:color="auto"/>
        <w:left w:val="none" w:sz="0" w:space="0" w:color="auto"/>
        <w:bottom w:val="none" w:sz="0" w:space="0" w:color="auto"/>
        <w:right w:val="none" w:sz="0" w:space="0" w:color="auto"/>
      </w:divBdr>
    </w:div>
    <w:div w:id="449321627">
      <w:bodyDiv w:val="1"/>
      <w:marLeft w:val="0"/>
      <w:marRight w:val="0"/>
      <w:marTop w:val="0"/>
      <w:marBottom w:val="0"/>
      <w:divBdr>
        <w:top w:val="none" w:sz="0" w:space="0" w:color="auto"/>
        <w:left w:val="none" w:sz="0" w:space="0" w:color="auto"/>
        <w:bottom w:val="none" w:sz="0" w:space="0" w:color="auto"/>
        <w:right w:val="none" w:sz="0" w:space="0" w:color="auto"/>
      </w:divBdr>
    </w:div>
    <w:div w:id="489831181">
      <w:bodyDiv w:val="1"/>
      <w:marLeft w:val="0"/>
      <w:marRight w:val="0"/>
      <w:marTop w:val="0"/>
      <w:marBottom w:val="0"/>
      <w:divBdr>
        <w:top w:val="none" w:sz="0" w:space="0" w:color="auto"/>
        <w:left w:val="none" w:sz="0" w:space="0" w:color="auto"/>
        <w:bottom w:val="none" w:sz="0" w:space="0" w:color="auto"/>
        <w:right w:val="none" w:sz="0" w:space="0" w:color="auto"/>
      </w:divBdr>
      <w:divsChild>
        <w:div w:id="1786999530">
          <w:marLeft w:val="0"/>
          <w:marRight w:val="0"/>
          <w:marTop w:val="0"/>
          <w:marBottom w:val="0"/>
          <w:divBdr>
            <w:top w:val="none" w:sz="0" w:space="0" w:color="auto"/>
            <w:left w:val="none" w:sz="0" w:space="0" w:color="auto"/>
            <w:bottom w:val="none" w:sz="0" w:space="0" w:color="auto"/>
            <w:right w:val="none" w:sz="0" w:space="0" w:color="auto"/>
          </w:divBdr>
          <w:divsChild>
            <w:div w:id="818694942">
              <w:marLeft w:val="0"/>
              <w:marRight w:val="0"/>
              <w:marTop w:val="0"/>
              <w:marBottom w:val="0"/>
              <w:divBdr>
                <w:top w:val="none" w:sz="0" w:space="0" w:color="auto"/>
                <w:left w:val="none" w:sz="0" w:space="0" w:color="auto"/>
                <w:bottom w:val="none" w:sz="0" w:space="0" w:color="auto"/>
                <w:right w:val="none" w:sz="0" w:space="0" w:color="auto"/>
              </w:divBdr>
              <w:divsChild>
                <w:div w:id="912542089">
                  <w:marLeft w:val="0"/>
                  <w:marRight w:val="0"/>
                  <w:marTop w:val="0"/>
                  <w:marBottom w:val="0"/>
                  <w:divBdr>
                    <w:top w:val="none" w:sz="0" w:space="0" w:color="auto"/>
                    <w:left w:val="none" w:sz="0" w:space="0" w:color="auto"/>
                    <w:bottom w:val="none" w:sz="0" w:space="0" w:color="auto"/>
                    <w:right w:val="none" w:sz="0" w:space="0" w:color="auto"/>
                  </w:divBdr>
                  <w:divsChild>
                    <w:div w:id="974145656">
                      <w:marLeft w:val="0"/>
                      <w:marRight w:val="0"/>
                      <w:marTop w:val="0"/>
                      <w:marBottom w:val="0"/>
                      <w:divBdr>
                        <w:top w:val="none" w:sz="0" w:space="0" w:color="auto"/>
                        <w:left w:val="none" w:sz="0" w:space="0" w:color="auto"/>
                        <w:bottom w:val="none" w:sz="0" w:space="0" w:color="auto"/>
                        <w:right w:val="none" w:sz="0" w:space="0" w:color="auto"/>
                      </w:divBdr>
                      <w:divsChild>
                        <w:div w:id="1796021869">
                          <w:marLeft w:val="0"/>
                          <w:marRight w:val="0"/>
                          <w:marTop w:val="0"/>
                          <w:marBottom w:val="0"/>
                          <w:divBdr>
                            <w:top w:val="none" w:sz="0" w:space="0" w:color="auto"/>
                            <w:left w:val="none" w:sz="0" w:space="0" w:color="auto"/>
                            <w:bottom w:val="none" w:sz="0" w:space="0" w:color="auto"/>
                            <w:right w:val="none" w:sz="0" w:space="0" w:color="auto"/>
                          </w:divBdr>
                          <w:divsChild>
                            <w:div w:id="1971275624">
                              <w:marLeft w:val="0"/>
                              <w:marRight w:val="0"/>
                              <w:marTop w:val="0"/>
                              <w:marBottom w:val="0"/>
                              <w:divBdr>
                                <w:top w:val="none" w:sz="0" w:space="0" w:color="auto"/>
                                <w:left w:val="none" w:sz="0" w:space="0" w:color="auto"/>
                                <w:bottom w:val="none" w:sz="0" w:space="0" w:color="auto"/>
                                <w:right w:val="none" w:sz="0" w:space="0" w:color="auto"/>
                              </w:divBdr>
                              <w:divsChild>
                                <w:div w:id="1921941085">
                                  <w:marLeft w:val="0"/>
                                  <w:marRight w:val="0"/>
                                  <w:marTop w:val="0"/>
                                  <w:marBottom w:val="0"/>
                                  <w:divBdr>
                                    <w:top w:val="none" w:sz="0" w:space="0" w:color="auto"/>
                                    <w:left w:val="none" w:sz="0" w:space="0" w:color="auto"/>
                                    <w:bottom w:val="none" w:sz="0" w:space="0" w:color="auto"/>
                                    <w:right w:val="none" w:sz="0" w:space="0" w:color="auto"/>
                                  </w:divBdr>
                                  <w:divsChild>
                                    <w:div w:id="1832134678">
                                      <w:marLeft w:val="0"/>
                                      <w:marRight w:val="0"/>
                                      <w:marTop w:val="0"/>
                                      <w:marBottom w:val="0"/>
                                      <w:divBdr>
                                        <w:top w:val="single" w:sz="6" w:space="0" w:color="F5F5F5"/>
                                        <w:left w:val="single" w:sz="6" w:space="0" w:color="F5F5F5"/>
                                        <w:bottom w:val="single" w:sz="6" w:space="0" w:color="F5F5F5"/>
                                        <w:right w:val="single" w:sz="6" w:space="0" w:color="F5F5F5"/>
                                      </w:divBdr>
                                      <w:divsChild>
                                        <w:div w:id="1781296956">
                                          <w:marLeft w:val="0"/>
                                          <w:marRight w:val="0"/>
                                          <w:marTop w:val="0"/>
                                          <w:marBottom w:val="0"/>
                                          <w:divBdr>
                                            <w:top w:val="none" w:sz="0" w:space="0" w:color="auto"/>
                                            <w:left w:val="none" w:sz="0" w:space="0" w:color="auto"/>
                                            <w:bottom w:val="none" w:sz="0" w:space="0" w:color="auto"/>
                                            <w:right w:val="none" w:sz="0" w:space="0" w:color="auto"/>
                                          </w:divBdr>
                                          <w:divsChild>
                                            <w:div w:id="6001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1315930">
      <w:bodyDiv w:val="1"/>
      <w:marLeft w:val="0"/>
      <w:marRight w:val="0"/>
      <w:marTop w:val="0"/>
      <w:marBottom w:val="0"/>
      <w:divBdr>
        <w:top w:val="none" w:sz="0" w:space="0" w:color="auto"/>
        <w:left w:val="none" w:sz="0" w:space="0" w:color="auto"/>
        <w:bottom w:val="none" w:sz="0" w:space="0" w:color="auto"/>
        <w:right w:val="none" w:sz="0" w:space="0" w:color="auto"/>
      </w:divBdr>
    </w:div>
    <w:div w:id="1034888626">
      <w:bodyDiv w:val="1"/>
      <w:marLeft w:val="0"/>
      <w:marRight w:val="0"/>
      <w:marTop w:val="0"/>
      <w:marBottom w:val="0"/>
      <w:divBdr>
        <w:top w:val="none" w:sz="0" w:space="0" w:color="auto"/>
        <w:left w:val="none" w:sz="0" w:space="0" w:color="auto"/>
        <w:bottom w:val="none" w:sz="0" w:space="0" w:color="auto"/>
        <w:right w:val="none" w:sz="0" w:space="0" w:color="auto"/>
      </w:divBdr>
    </w:div>
    <w:div w:id="1282612752">
      <w:bodyDiv w:val="1"/>
      <w:marLeft w:val="0"/>
      <w:marRight w:val="0"/>
      <w:marTop w:val="0"/>
      <w:marBottom w:val="0"/>
      <w:divBdr>
        <w:top w:val="none" w:sz="0" w:space="0" w:color="auto"/>
        <w:left w:val="none" w:sz="0" w:space="0" w:color="auto"/>
        <w:bottom w:val="none" w:sz="0" w:space="0" w:color="auto"/>
        <w:right w:val="none" w:sz="0" w:space="0" w:color="auto"/>
      </w:divBdr>
    </w:div>
    <w:div w:id="1326859331">
      <w:bodyDiv w:val="1"/>
      <w:marLeft w:val="0"/>
      <w:marRight w:val="0"/>
      <w:marTop w:val="0"/>
      <w:marBottom w:val="0"/>
      <w:divBdr>
        <w:top w:val="none" w:sz="0" w:space="0" w:color="auto"/>
        <w:left w:val="none" w:sz="0" w:space="0" w:color="auto"/>
        <w:bottom w:val="none" w:sz="0" w:space="0" w:color="auto"/>
        <w:right w:val="none" w:sz="0" w:space="0" w:color="auto"/>
      </w:divBdr>
      <w:divsChild>
        <w:div w:id="258686639">
          <w:marLeft w:val="0"/>
          <w:marRight w:val="0"/>
          <w:marTop w:val="0"/>
          <w:marBottom w:val="0"/>
          <w:divBdr>
            <w:top w:val="none" w:sz="0" w:space="0" w:color="auto"/>
            <w:left w:val="none" w:sz="0" w:space="0" w:color="auto"/>
            <w:bottom w:val="none" w:sz="0" w:space="0" w:color="auto"/>
            <w:right w:val="none" w:sz="0" w:space="0" w:color="auto"/>
          </w:divBdr>
          <w:divsChild>
            <w:div w:id="2136212924">
              <w:marLeft w:val="0"/>
              <w:marRight w:val="0"/>
              <w:marTop w:val="0"/>
              <w:marBottom w:val="0"/>
              <w:divBdr>
                <w:top w:val="none" w:sz="0" w:space="0" w:color="auto"/>
                <w:left w:val="none" w:sz="0" w:space="0" w:color="auto"/>
                <w:bottom w:val="none" w:sz="0" w:space="0" w:color="auto"/>
                <w:right w:val="none" w:sz="0" w:space="0" w:color="auto"/>
              </w:divBdr>
              <w:divsChild>
                <w:div w:id="1539783697">
                  <w:marLeft w:val="0"/>
                  <w:marRight w:val="0"/>
                  <w:marTop w:val="0"/>
                  <w:marBottom w:val="0"/>
                  <w:divBdr>
                    <w:top w:val="none" w:sz="0" w:space="0" w:color="auto"/>
                    <w:left w:val="none" w:sz="0" w:space="0" w:color="auto"/>
                    <w:bottom w:val="none" w:sz="0" w:space="0" w:color="auto"/>
                    <w:right w:val="none" w:sz="0" w:space="0" w:color="auto"/>
                  </w:divBdr>
                  <w:divsChild>
                    <w:div w:id="616564859">
                      <w:marLeft w:val="0"/>
                      <w:marRight w:val="0"/>
                      <w:marTop w:val="0"/>
                      <w:marBottom w:val="0"/>
                      <w:divBdr>
                        <w:top w:val="none" w:sz="0" w:space="0" w:color="auto"/>
                        <w:left w:val="none" w:sz="0" w:space="0" w:color="auto"/>
                        <w:bottom w:val="none" w:sz="0" w:space="0" w:color="auto"/>
                        <w:right w:val="none" w:sz="0" w:space="0" w:color="auto"/>
                      </w:divBdr>
                      <w:divsChild>
                        <w:div w:id="913004961">
                          <w:marLeft w:val="0"/>
                          <w:marRight w:val="0"/>
                          <w:marTop w:val="0"/>
                          <w:marBottom w:val="0"/>
                          <w:divBdr>
                            <w:top w:val="none" w:sz="0" w:space="0" w:color="auto"/>
                            <w:left w:val="none" w:sz="0" w:space="0" w:color="auto"/>
                            <w:bottom w:val="none" w:sz="0" w:space="0" w:color="auto"/>
                            <w:right w:val="none" w:sz="0" w:space="0" w:color="auto"/>
                          </w:divBdr>
                          <w:divsChild>
                            <w:div w:id="2002997575">
                              <w:marLeft w:val="0"/>
                              <w:marRight w:val="0"/>
                              <w:marTop w:val="0"/>
                              <w:marBottom w:val="0"/>
                              <w:divBdr>
                                <w:top w:val="none" w:sz="0" w:space="0" w:color="auto"/>
                                <w:left w:val="none" w:sz="0" w:space="0" w:color="auto"/>
                                <w:bottom w:val="none" w:sz="0" w:space="0" w:color="auto"/>
                                <w:right w:val="none" w:sz="0" w:space="0" w:color="auto"/>
                              </w:divBdr>
                              <w:divsChild>
                                <w:div w:id="1087845212">
                                  <w:marLeft w:val="0"/>
                                  <w:marRight w:val="0"/>
                                  <w:marTop w:val="0"/>
                                  <w:marBottom w:val="0"/>
                                  <w:divBdr>
                                    <w:top w:val="none" w:sz="0" w:space="0" w:color="auto"/>
                                    <w:left w:val="none" w:sz="0" w:space="0" w:color="auto"/>
                                    <w:bottom w:val="none" w:sz="0" w:space="0" w:color="auto"/>
                                    <w:right w:val="none" w:sz="0" w:space="0" w:color="auto"/>
                                  </w:divBdr>
                                  <w:divsChild>
                                    <w:div w:id="479083522">
                                      <w:marLeft w:val="0"/>
                                      <w:marRight w:val="0"/>
                                      <w:marTop w:val="0"/>
                                      <w:marBottom w:val="0"/>
                                      <w:divBdr>
                                        <w:top w:val="single" w:sz="6" w:space="0" w:color="F5F5F5"/>
                                        <w:left w:val="single" w:sz="6" w:space="0" w:color="F5F5F5"/>
                                        <w:bottom w:val="single" w:sz="6" w:space="0" w:color="F5F5F5"/>
                                        <w:right w:val="single" w:sz="6" w:space="0" w:color="F5F5F5"/>
                                      </w:divBdr>
                                      <w:divsChild>
                                        <w:div w:id="1500272366">
                                          <w:marLeft w:val="0"/>
                                          <w:marRight w:val="0"/>
                                          <w:marTop w:val="0"/>
                                          <w:marBottom w:val="0"/>
                                          <w:divBdr>
                                            <w:top w:val="none" w:sz="0" w:space="0" w:color="auto"/>
                                            <w:left w:val="none" w:sz="0" w:space="0" w:color="auto"/>
                                            <w:bottom w:val="none" w:sz="0" w:space="0" w:color="auto"/>
                                            <w:right w:val="none" w:sz="0" w:space="0" w:color="auto"/>
                                          </w:divBdr>
                                          <w:divsChild>
                                            <w:div w:id="6036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60543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B4BDBF5FFB114D98D0CE16D2A7C7F7" ma:contentTypeVersion="359" ma:contentTypeDescription="Create a new document." ma:contentTypeScope="" ma:versionID="025537fa1552de5f2678a9e071bc4e18">
  <xsd:schema xmlns:xsd="http://www.w3.org/2001/XMLSchema" xmlns:xs="http://www.w3.org/2001/XMLSchema" xmlns:p="http://schemas.microsoft.com/office/2006/metadata/properties" xmlns:ns2="1cf42a29-f858-4375-8aee-f3cc1199ffe4" xmlns:ns3="b2818259-d8df-4c91-a449-b70ca99d9519" targetNamespace="http://schemas.microsoft.com/office/2006/metadata/properties" ma:root="true" ma:fieldsID="da163c7ca1c6f2438e32109387fd9ace" ns2:_="" ns3:_="">
    <xsd:import namespace="1cf42a29-f858-4375-8aee-f3cc1199ffe4"/>
    <xsd:import namespace="b2818259-d8df-4c91-a449-b70ca99d95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42a29-f858-4375-8aee-f3cc1199f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f4ba91-7b6d-4b97-8295-88be7aed5e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18259-d8df-4c91-a449-b70ca99d9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41d9c3-9db9-4d70-8b18-117ae12b3d4c}" ma:internalName="TaxCatchAll" ma:showField="CatchAllData" ma:web="b2818259-d8df-4c91-a449-b70ca99d9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f42a29-f858-4375-8aee-f3cc1199ffe4">
      <Terms xmlns="http://schemas.microsoft.com/office/infopath/2007/PartnerControls"/>
    </lcf76f155ced4ddcb4097134ff3c332f>
    <TaxCatchAll xmlns="b2818259-d8df-4c91-a449-b70ca99d9519"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F710F1F-2A15-4214-85C3-F7DE50B245CB}">
  <ds:schemaRefs>
    <ds:schemaRef ds:uri="http://schemas.openxmlformats.org/officeDocument/2006/bibliography"/>
  </ds:schemaRefs>
</ds:datastoreItem>
</file>

<file path=customXml/itemProps2.xml><?xml version="1.0" encoding="utf-8"?>
<ds:datastoreItem xmlns:ds="http://schemas.openxmlformats.org/officeDocument/2006/customXml" ds:itemID="{9E3BF5E9-F995-460D-BDE8-DBD3D8D461F1}">
  <ds:schemaRefs>
    <ds:schemaRef ds:uri="http://schemas.microsoft.com/sharepoint/v3/contenttype/forms"/>
  </ds:schemaRefs>
</ds:datastoreItem>
</file>

<file path=customXml/itemProps3.xml><?xml version="1.0" encoding="utf-8"?>
<ds:datastoreItem xmlns:ds="http://schemas.openxmlformats.org/officeDocument/2006/customXml" ds:itemID="{B8633F70-1268-415C-A652-9E290755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42a29-f858-4375-8aee-f3cc1199ffe4"/>
    <ds:schemaRef ds:uri="b2818259-d8df-4c91-a449-b70ca99d9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E2E3C-A8D5-441B-830E-F9BD2DB65EA1}">
  <ds:schemaRefs>
    <ds:schemaRef ds:uri="http://schemas.microsoft.com/office/2006/metadata/properties"/>
    <ds:schemaRef ds:uri="http://schemas.microsoft.com/office/infopath/2007/PartnerControls"/>
    <ds:schemaRef ds:uri="1cf42a29-f858-4375-8aee-f3cc1199ffe4"/>
    <ds:schemaRef ds:uri="b2818259-d8df-4c91-a449-b70ca99d9519"/>
  </ds:schemaRefs>
</ds:datastoreItem>
</file>

<file path=customXml/itemProps5.xml><?xml version="1.0" encoding="utf-8"?>
<ds:datastoreItem xmlns:ds="http://schemas.openxmlformats.org/officeDocument/2006/customXml" ds:itemID="{B6D0564F-813C-4C2F-912C-CA0F0EF925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3603</Words>
  <Characters>23658</Characters>
  <Application>Microsoft Office Word</Application>
  <DocSecurity>0</DocSecurity>
  <Lines>2628</Lines>
  <Paragraphs>1434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MAH Review_SS</cp:lastModifiedBy>
  <cp:revision>4</cp:revision>
  <dcterms:created xsi:type="dcterms:W3CDTF">2025-02-21T06:21:00Z</dcterms:created>
  <dcterms:modified xsi:type="dcterms:W3CDTF">2025-12-19T13:00:00Z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0x01010032B4BDBF5FFB114D98D0CE16D2A7C7F7</vt:lpwstr>
  </property>
  <property fmtid="{D5CDD505-2E9C-101B-9397-08002B2CF9AE}" pid="3" name="MSIP_Label_926dd0f0-549d-4a31-862c-c1638adefb3b_Enabled">
    <vt:lpwstr>true</vt:lpwstr>
  </property>
  <property fmtid="{D5CDD505-2E9C-101B-9397-08002B2CF9AE}" pid="4" name="MSIP_Label_926dd0f0-549d-4a31-862c-c1638adefb3b_SetDate">
    <vt:lpwstr>2025-12-19T12:32:17Z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54801b59-0fa5-4bf5-9cbe-2fc8ca9ff7d4</vt:lpwstr>
  </property>
  <property fmtid="{D5CDD505-2E9C-101B-9397-08002B2CF9AE}" pid="9" name="MSIP_Label_926dd0f0-549d-4a31-862c-c1638adefb3b_ContentBits">
    <vt:lpwstr>0</vt:lpwstr>
  </property>
  <property fmtid="{D5CDD505-2E9C-101B-9397-08002B2CF9AE}" pid="10" name="MSIP_Label_926dd0f0-549d-4a31-862c-c1638adefb3b_Tag">
    <vt:lpwstr>10, 0, 1, 1</vt:lpwstr>
  </property>
</Properties>
</file>