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C18E" w14:textId="77777777" w:rsidR="00842EBE" w:rsidRDefault="00842EBE" w:rsidP="0027385B">
      <w:pPr>
        <w:jc w:val="center"/>
        <w:rPr>
          <w:b/>
        </w:rPr>
      </w:pPr>
      <w:r w:rsidRPr="00372A5A">
        <w:rPr>
          <w:b/>
        </w:rPr>
        <w:t>VALMISTEYHTEENVETO</w:t>
      </w:r>
    </w:p>
    <w:p w14:paraId="33B32E2B" w14:textId="77777777" w:rsidR="005456B5" w:rsidRPr="00372A5A" w:rsidRDefault="005456B5" w:rsidP="0027385B">
      <w:pPr>
        <w:jc w:val="center"/>
        <w:rPr>
          <w:b/>
        </w:rPr>
      </w:pPr>
    </w:p>
    <w:p w14:paraId="7BFEE954" w14:textId="77777777" w:rsidR="003461AD" w:rsidRPr="00924EB7" w:rsidRDefault="003461AD" w:rsidP="0027385B"/>
    <w:p w14:paraId="7D4A472E" w14:textId="77777777" w:rsidR="00842EBE" w:rsidRPr="00924EB7" w:rsidRDefault="00842EBE" w:rsidP="0027385B">
      <w:pPr>
        <w:pStyle w:val="Heading1"/>
      </w:pPr>
      <w:r w:rsidRPr="00924EB7">
        <w:t>LÄÄKEVALMISTEEN NIMI</w:t>
      </w:r>
    </w:p>
    <w:p w14:paraId="25999FBB" w14:textId="77777777" w:rsidR="003461AD" w:rsidRDefault="003461AD" w:rsidP="0027385B">
      <w:pPr>
        <w:rPr>
          <w:color w:val="000000"/>
          <w:szCs w:val="22"/>
        </w:rPr>
      </w:pPr>
    </w:p>
    <w:p w14:paraId="119191B1" w14:textId="77777777" w:rsidR="00842EBE" w:rsidRDefault="00842EBE" w:rsidP="0027385B">
      <w:pPr>
        <w:rPr>
          <w:color w:val="000000"/>
          <w:szCs w:val="22"/>
        </w:rPr>
      </w:pPr>
      <w:r w:rsidRPr="00924EB7">
        <w:rPr>
          <w:color w:val="000000"/>
          <w:szCs w:val="22"/>
        </w:rPr>
        <w:t>Teveten 600 mg tabletti, kalvopäällysteinen</w:t>
      </w:r>
    </w:p>
    <w:p w14:paraId="188EF517" w14:textId="77777777" w:rsidR="003461AD" w:rsidRDefault="003461AD" w:rsidP="0027385B">
      <w:pPr>
        <w:rPr>
          <w:color w:val="000000"/>
          <w:szCs w:val="22"/>
        </w:rPr>
      </w:pPr>
    </w:p>
    <w:p w14:paraId="3F5D3944" w14:textId="77777777" w:rsidR="003461AD" w:rsidRPr="00924EB7" w:rsidRDefault="003461AD" w:rsidP="0027385B">
      <w:pPr>
        <w:rPr>
          <w:szCs w:val="22"/>
        </w:rPr>
      </w:pPr>
    </w:p>
    <w:p w14:paraId="766AAB3C" w14:textId="77777777" w:rsidR="00842EBE" w:rsidRPr="00924EB7" w:rsidRDefault="00842EBE" w:rsidP="0027385B">
      <w:pPr>
        <w:pStyle w:val="Heading1"/>
      </w:pPr>
      <w:r w:rsidRPr="00924EB7">
        <w:t>VAIKUTTAVAT AINEET JA NIIDEN MÄÄRÄT</w:t>
      </w:r>
    </w:p>
    <w:p w14:paraId="75380C36" w14:textId="77777777" w:rsidR="003461AD" w:rsidRDefault="003461AD" w:rsidP="0027385B">
      <w:pPr>
        <w:tabs>
          <w:tab w:val="clear" w:pos="567"/>
        </w:tabs>
        <w:rPr>
          <w:color w:val="000000"/>
          <w:szCs w:val="22"/>
        </w:rPr>
      </w:pPr>
    </w:p>
    <w:p w14:paraId="023977B8" w14:textId="77777777" w:rsidR="00842EBE" w:rsidRDefault="00842EBE" w:rsidP="0027385B">
      <w:pPr>
        <w:tabs>
          <w:tab w:val="clear" w:pos="567"/>
        </w:tabs>
        <w:rPr>
          <w:color w:val="000000"/>
          <w:szCs w:val="22"/>
        </w:rPr>
      </w:pPr>
      <w:r w:rsidRPr="00924EB7">
        <w:rPr>
          <w:color w:val="000000"/>
          <w:szCs w:val="22"/>
        </w:rPr>
        <w:t>Yksi kalvopäällysteinen tabletti sisältää eprosartaanimesilaattia vastaten 600 mg eprosartaania.</w:t>
      </w:r>
    </w:p>
    <w:p w14:paraId="71B28A4F" w14:textId="77777777" w:rsidR="001C60F0" w:rsidRDefault="001C60F0" w:rsidP="0027385B">
      <w:pPr>
        <w:tabs>
          <w:tab w:val="clear" w:pos="567"/>
        </w:tabs>
        <w:rPr>
          <w:color w:val="000000"/>
          <w:szCs w:val="22"/>
        </w:rPr>
      </w:pPr>
    </w:p>
    <w:p w14:paraId="6970E8F1" w14:textId="77777777" w:rsidR="001C60F0" w:rsidRDefault="001C60F0" w:rsidP="0027385B">
      <w:pPr>
        <w:tabs>
          <w:tab w:val="clear" w:pos="567"/>
        </w:tabs>
      </w:pPr>
      <w:r>
        <w:t xml:space="preserve">Apuaine, jonka vaikutus tunnetaan: </w:t>
      </w:r>
    </w:p>
    <w:p w14:paraId="2BA55A37" w14:textId="77777777" w:rsidR="001C60F0" w:rsidRPr="00924EB7" w:rsidRDefault="001C60F0" w:rsidP="0027385B">
      <w:pPr>
        <w:tabs>
          <w:tab w:val="clear" w:pos="567"/>
        </w:tabs>
        <w:rPr>
          <w:color w:val="000000"/>
          <w:szCs w:val="22"/>
        </w:rPr>
      </w:pPr>
      <w:r>
        <w:t>Yksi kalvopäällysteinen tabletti sisältää 43,3 mg laktoosia (monohydraattina)</w:t>
      </w:r>
    </w:p>
    <w:p w14:paraId="0182C2B5" w14:textId="77777777" w:rsidR="00842EBE" w:rsidRPr="00924EB7" w:rsidRDefault="00842EBE" w:rsidP="0027385B">
      <w:pPr>
        <w:tabs>
          <w:tab w:val="clear" w:pos="567"/>
        </w:tabs>
        <w:rPr>
          <w:color w:val="000000"/>
          <w:szCs w:val="22"/>
        </w:rPr>
      </w:pPr>
    </w:p>
    <w:p w14:paraId="10743B40" w14:textId="77777777" w:rsidR="00842EBE" w:rsidRDefault="00842EBE" w:rsidP="0027385B">
      <w:pPr>
        <w:tabs>
          <w:tab w:val="clear" w:pos="567"/>
        </w:tabs>
        <w:rPr>
          <w:color w:val="000000"/>
          <w:szCs w:val="22"/>
        </w:rPr>
      </w:pPr>
      <w:r w:rsidRPr="00924EB7">
        <w:rPr>
          <w:color w:val="000000"/>
          <w:szCs w:val="22"/>
        </w:rPr>
        <w:t>Täydellinen apuaineluettelo, ks. kohta 6.1.</w:t>
      </w:r>
    </w:p>
    <w:p w14:paraId="5611C125" w14:textId="77777777" w:rsidR="003461AD" w:rsidRDefault="003461AD" w:rsidP="0027385B">
      <w:pPr>
        <w:tabs>
          <w:tab w:val="clear" w:pos="567"/>
        </w:tabs>
        <w:rPr>
          <w:color w:val="000000"/>
          <w:szCs w:val="22"/>
        </w:rPr>
      </w:pPr>
    </w:p>
    <w:p w14:paraId="022B84F2" w14:textId="77777777" w:rsidR="003461AD" w:rsidRPr="00924EB7" w:rsidRDefault="003461AD" w:rsidP="0027385B">
      <w:pPr>
        <w:tabs>
          <w:tab w:val="clear" w:pos="567"/>
        </w:tabs>
        <w:rPr>
          <w:i/>
          <w:szCs w:val="22"/>
        </w:rPr>
      </w:pPr>
    </w:p>
    <w:p w14:paraId="5A97E146" w14:textId="77777777" w:rsidR="00842EBE" w:rsidRPr="00924EB7" w:rsidRDefault="00842EBE" w:rsidP="0027385B">
      <w:pPr>
        <w:pStyle w:val="Heading1"/>
      </w:pPr>
      <w:r w:rsidRPr="00924EB7">
        <w:t>LÄÄKEMUOTO</w:t>
      </w:r>
    </w:p>
    <w:p w14:paraId="0FAA1E77" w14:textId="77777777" w:rsidR="003461AD" w:rsidRDefault="003461AD" w:rsidP="0027385B">
      <w:pPr>
        <w:suppressAutoHyphens/>
        <w:rPr>
          <w:color w:val="000000"/>
          <w:szCs w:val="22"/>
        </w:rPr>
      </w:pPr>
    </w:p>
    <w:p w14:paraId="0C5F7228" w14:textId="77777777" w:rsidR="00842EBE" w:rsidRPr="00924EB7" w:rsidRDefault="00842EBE" w:rsidP="0027385B">
      <w:pPr>
        <w:suppressAutoHyphens/>
        <w:rPr>
          <w:color w:val="000000"/>
          <w:szCs w:val="22"/>
        </w:rPr>
      </w:pPr>
      <w:r w:rsidRPr="00924EB7">
        <w:rPr>
          <w:color w:val="000000"/>
          <w:szCs w:val="22"/>
        </w:rPr>
        <w:t>Tabletti, kalvopäällysteinen</w:t>
      </w:r>
    </w:p>
    <w:p w14:paraId="44AB217A" w14:textId="77777777" w:rsidR="00842EBE" w:rsidRPr="00924EB7" w:rsidRDefault="00842EBE" w:rsidP="0027385B">
      <w:pPr>
        <w:suppressAutoHyphens/>
        <w:rPr>
          <w:color w:val="000000"/>
          <w:szCs w:val="22"/>
        </w:rPr>
      </w:pPr>
    </w:p>
    <w:p w14:paraId="743020F4" w14:textId="77777777" w:rsidR="00842EBE" w:rsidRDefault="00842EBE" w:rsidP="0027385B">
      <w:pPr>
        <w:tabs>
          <w:tab w:val="clear" w:pos="567"/>
        </w:tabs>
        <w:rPr>
          <w:color w:val="000000"/>
          <w:szCs w:val="22"/>
        </w:rPr>
      </w:pPr>
      <w:r w:rsidRPr="00924EB7">
        <w:rPr>
          <w:color w:val="000000"/>
          <w:szCs w:val="22"/>
        </w:rPr>
        <w:t xml:space="preserve">Valkoinen, kapselinmuotoinen kalvopäällysteinen tabletti, jossa painatus 5046 toisella puolella. </w:t>
      </w:r>
    </w:p>
    <w:p w14:paraId="756D3676" w14:textId="77777777" w:rsidR="003461AD" w:rsidRDefault="003461AD" w:rsidP="0027385B">
      <w:pPr>
        <w:tabs>
          <w:tab w:val="clear" w:pos="567"/>
        </w:tabs>
        <w:rPr>
          <w:color w:val="000000"/>
          <w:szCs w:val="22"/>
        </w:rPr>
      </w:pPr>
    </w:p>
    <w:p w14:paraId="79CF3696" w14:textId="77777777" w:rsidR="003461AD" w:rsidRPr="00924EB7" w:rsidRDefault="003461AD" w:rsidP="0027385B">
      <w:pPr>
        <w:tabs>
          <w:tab w:val="clear" w:pos="567"/>
        </w:tabs>
        <w:rPr>
          <w:szCs w:val="22"/>
        </w:rPr>
      </w:pPr>
    </w:p>
    <w:p w14:paraId="1D6E2416" w14:textId="77777777" w:rsidR="00842EBE" w:rsidRDefault="00842EBE" w:rsidP="0027385B">
      <w:pPr>
        <w:pStyle w:val="Heading1"/>
      </w:pPr>
      <w:r w:rsidRPr="00924EB7">
        <w:t>KLIINISET TIEDOT</w:t>
      </w:r>
    </w:p>
    <w:p w14:paraId="256B22C1" w14:textId="77777777" w:rsidR="003461AD" w:rsidRPr="003461AD" w:rsidRDefault="003461AD" w:rsidP="0027385B"/>
    <w:p w14:paraId="1A2119E3" w14:textId="77777777" w:rsidR="00842EBE" w:rsidRPr="00924EB7" w:rsidRDefault="00842EBE" w:rsidP="0027385B">
      <w:pPr>
        <w:pStyle w:val="Heading2"/>
      </w:pPr>
      <w:proofErr w:type="spellStart"/>
      <w:r w:rsidRPr="00924EB7">
        <w:t>Käyttöaiheet</w:t>
      </w:r>
      <w:proofErr w:type="spellEnd"/>
    </w:p>
    <w:p w14:paraId="02EACFCB" w14:textId="77777777" w:rsidR="003461AD" w:rsidRDefault="003461AD" w:rsidP="0027385B">
      <w:pPr>
        <w:tabs>
          <w:tab w:val="clear" w:pos="567"/>
        </w:tabs>
        <w:rPr>
          <w:color w:val="000000"/>
          <w:szCs w:val="22"/>
        </w:rPr>
      </w:pPr>
    </w:p>
    <w:p w14:paraId="05324650" w14:textId="77777777" w:rsidR="00842EBE" w:rsidRDefault="00A67877" w:rsidP="003461AD">
      <w:pPr>
        <w:tabs>
          <w:tab w:val="clear" w:pos="567"/>
        </w:tabs>
        <w:rPr>
          <w:color w:val="000000"/>
          <w:szCs w:val="22"/>
        </w:rPr>
      </w:pPr>
      <w:r>
        <w:rPr>
          <w:color w:val="000000"/>
          <w:szCs w:val="22"/>
        </w:rPr>
        <w:t>Ep</w:t>
      </w:r>
      <w:r w:rsidR="00BB7632">
        <w:rPr>
          <w:color w:val="000000"/>
          <w:szCs w:val="22"/>
        </w:rPr>
        <w:t>r</w:t>
      </w:r>
      <w:r>
        <w:rPr>
          <w:color w:val="000000"/>
          <w:szCs w:val="22"/>
        </w:rPr>
        <w:t xml:space="preserve">osartaani </w:t>
      </w:r>
      <w:r w:rsidR="00842EBE" w:rsidRPr="00924EB7">
        <w:rPr>
          <w:color w:val="000000"/>
          <w:szCs w:val="22"/>
        </w:rPr>
        <w:t>on tarkoitettu essentiaalisen verenpainetaudin hoitoon.</w:t>
      </w:r>
    </w:p>
    <w:p w14:paraId="74C01AF1" w14:textId="77777777" w:rsidR="003461AD" w:rsidRPr="00924EB7" w:rsidRDefault="003461AD" w:rsidP="003461AD">
      <w:pPr>
        <w:tabs>
          <w:tab w:val="clear" w:pos="567"/>
        </w:tabs>
        <w:rPr>
          <w:szCs w:val="22"/>
        </w:rPr>
      </w:pPr>
    </w:p>
    <w:p w14:paraId="08D68302" w14:textId="77777777" w:rsidR="00842EBE" w:rsidRPr="00924EB7" w:rsidRDefault="00842EBE" w:rsidP="0027385B">
      <w:pPr>
        <w:pStyle w:val="Heading2"/>
      </w:pPr>
      <w:proofErr w:type="spellStart"/>
      <w:r w:rsidRPr="00924EB7">
        <w:t>Annostus</w:t>
      </w:r>
      <w:proofErr w:type="spellEnd"/>
      <w:r w:rsidRPr="00924EB7">
        <w:t xml:space="preserve"> </w:t>
      </w:r>
      <w:proofErr w:type="spellStart"/>
      <w:r w:rsidRPr="00924EB7">
        <w:t>ja</w:t>
      </w:r>
      <w:proofErr w:type="spellEnd"/>
      <w:r w:rsidRPr="00924EB7">
        <w:t xml:space="preserve"> </w:t>
      </w:r>
      <w:proofErr w:type="spellStart"/>
      <w:r w:rsidRPr="00924EB7">
        <w:t>antotapa</w:t>
      </w:r>
      <w:proofErr w:type="spellEnd"/>
    </w:p>
    <w:p w14:paraId="286CAAD6" w14:textId="77777777" w:rsidR="003461AD" w:rsidRDefault="003461AD">
      <w:pPr>
        <w:suppressAutoHyphens/>
        <w:rPr>
          <w:color w:val="000000"/>
          <w:szCs w:val="22"/>
        </w:rPr>
      </w:pPr>
    </w:p>
    <w:p w14:paraId="6BE295AD" w14:textId="77777777" w:rsidR="00842EBE" w:rsidRPr="00924EB7" w:rsidRDefault="00842EBE" w:rsidP="00372A5A">
      <w:pPr>
        <w:suppressAutoHyphens/>
        <w:rPr>
          <w:color w:val="000000"/>
          <w:szCs w:val="22"/>
        </w:rPr>
      </w:pPr>
      <w:r w:rsidRPr="00924EB7">
        <w:rPr>
          <w:color w:val="000000"/>
          <w:szCs w:val="22"/>
        </w:rPr>
        <w:t>Suositeltu annos on 600 mg eprosartaania kerran päivässä.</w:t>
      </w:r>
    </w:p>
    <w:p w14:paraId="6E95080E" w14:textId="77777777" w:rsidR="00D17793" w:rsidRPr="00924EB7" w:rsidRDefault="00D17793" w:rsidP="00372A5A">
      <w:pPr>
        <w:suppressAutoHyphens/>
        <w:rPr>
          <w:color w:val="000000"/>
          <w:szCs w:val="22"/>
        </w:rPr>
      </w:pPr>
    </w:p>
    <w:p w14:paraId="6662E4D0" w14:textId="77777777" w:rsidR="00842EBE" w:rsidRPr="00924EB7" w:rsidRDefault="00842EBE" w:rsidP="00372A5A">
      <w:pPr>
        <w:suppressAutoHyphens/>
        <w:rPr>
          <w:color w:val="000000"/>
          <w:szCs w:val="22"/>
        </w:rPr>
      </w:pPr>
      <w:r w:rsidRPr="00924EB7">
        <w:rPr>
          <w:color w:val="000000"/>
          <w:szCs w:val="22"/>
        </w:rPr>
        <w:t>Maksimaalisen verenpaineen laskun saavuttamiseen voi useimmilla potilailla kulua 2</w:t>
      </w:r>
      <w:r w:rsidR="00015D5D" w:rsidRPr="00924EB7">
        <w:rPr>
          <w:color w:val="000000"/>
          <w:szCs w:val="22"/>
        </w:rPr>
        <w:t>–</w:t>
      </w:r>
      <w:r w:rsidRPr="00924EB7">
        <w:rPr>
          <w:color w:val="000000"/>
          <w:szCs w:val="22"/>
        </w:rPr>
        <w:t>3 viikkoa.</w:t>
      </w:r>
    </w:p>
    <w:p w14:paraId="7AF0F6C5" w14:textId="77777777" w:rsidR="00842EBE" w:rsidRPr="00924EB7" w:rsidRDefault="00842EBE" w:rsidP="003461AD">
      <w:pPr>
        <w:suppressAutoHyphens/>
        <w:rPr>
          <w:color w:val="000000"/>
          <w:szCs w:val="22"/>
        </w:rPr>
      </w:pPr>
    </w:p>
    <w:p w14:paraId="0937E366" w14:textId="77777777" w:rsidR="00842EBE" w:rsidRPr="00924EB7" w:rsidRDefault="00842EBE" w:rsidP="00755255">
      <w:pPr>
        <w:tabs>
          <w:tab w:val="clear" w:pos="567"/>
        </w:tabs>
        <w:rPr>
          <w:color w:val="000000"/>
          <w:szCs w:val="22"/>
        </w:rPr>
      </w:pPr>
      <w:r w:rsidRPr="00924EB7">
        <w:rPr>
          <w:color w:val="000000"/>
          <w:szCs w:val="22"/>
        </w:rPr>
        <w:t>Eprosartaania voidaan käyttää yksin tai yhdessä muiden verenpaine</w:t>
      </w:r>
      <w:r w:rsidR="0061619D">
        <w:rPr>
          <w:color w:val="000000"/>
          <w:szCs w:val="22"/>
        </w:rPr>
        <w:t>tta alentavien aineiden</w:t>
      </w:r>
      <w:r w:rsidRPr="00924EB7">
        <w:rPr>
          <w:color w:val="000000"/>
          <w:szCs w:val="22"/>
        </w:rPr>
        <w:t xml:space="preserve"> kanssa</w:t>
      </w:r>
      <w:r w:rsidR="00B05D48">
        <w:rPr>
          <w:color w:val="000000"/>
          <w:szCs w:val="22"/>
        </w:rPr>
        <w:t xml:space="preserve"> </w:t>
      </w:r>
      <w:r w:rsidR="00B05D48" w:rsidRPr="00B05D48">
        <w:rPr>
          <w:color w:val="000000"/>
          <w:szCs w:val="22"/>
        </w:rPr>
        <w:t>(ks. kohdat 4.3, 4.4, 4.5 ja 5.1)</w:t>
      </w:r>
      <w:r w:rsidRPr="00924EB7">
        <w:rPr>
          <w:color w:val="000000"/>
          <w:szCs w:val="22"/>
        </w:rPr>
        <w:t>. Erityisesti tiatsididiureetin (kuten hydroklooritiatsidin) tai kalsiuminestäjän (kuten pitkävaikutteisen nifedipiinin) lisäämisellä on osoitettu saatavan additiivinen vaikutus yhdessä eprosartaanin kanssa.</w:t>
      </w:r>
    </w:p>
    <w:p w14:paraId="401B6F09" w14:textId="77777777" w:rsidR="00842EBE" w:rsidRPr="00924EB7" w:rsidRDefault="00842EBE">
      <w:pPr>
        <w:tabs>
          <w:tab w:val="clear" w:pos="567"/>
        </w:tabs>
        <w:rPr>
          <w:color w:val="000000"/>
          <w:szCs w:val="22"/>
        </w:rPr>
      </w:pPr>
    </w:p>
    <w:p w14:paraId="777F81D6" w14:textId="77777777" w:rsidR="00842EBE" w:rsidRPr="00924EB7" w:rsidRDefault="00842EBE" w:rsidP="00372A5A">
      <w:pPr>
        <w:rPr>
          <w:szCs w:val="22"/>
        </w:rPr>
      </w:pPr>
      <w:r w:rsidRPr="00924EB7">
        <w:rPr>
          <w:color w:val="000000"/>
          <w:szCs w:val="22"/>
        </w:rPr>
        <w:t>Eprosartaani</w:t>
      </w:r>
      <w:r w:rsidRPr="00924EB7">
        <w:rPr>
          <w:szCs w:val="22"/>
        </w:rPr>
        <w:t xml:space="preserve"> voidaan ottaa joko aterian yhteydessä tai tyhjään mahaan.</w:t>
      </w:r>
    </w:p>
    <w:p w14:paraId="71A4D936" w14:textId="77777777" w:rsidR="00842EBE" w:rsidRPr="00924EB7" w:rsidRDefault="00842EBE" w:rsidP="00372A5A">
      <w:pPr>
        <w:rPr>
          <w:szCs w:val="22"/>
        </w:rPr>
      </w:pPr>
    </w:p>
    <w:p w14:paraId="5C2DF12A" w14:textId="77777777" w:rsidR="00842EBE" w:rsidRPr="00924EB7" w:rsidRDefault="00842EBE" w:rsidP="00372A5A">
      <w:pPr>
        <w:rPr>
          <w:i/>
          <w:szCs w:val="22"/>
        </w:rPr>
      </w:pPr>
      <w:r w:rsidRPr="00924EB7">
        <w:rPr>
          <w:szCs w:val="22"/>
        </w:rPr>
        <w:t>Hoidon kestoa ei ole rajoitettu.</w:t>
      </w:r>
    </w:p>
    <w:p w14:paraId="6989BE88" w14:textId="77777777" w:rsidR="00842EBE" w:rsidRPr="00924EB7" w:rsidRDefault="00842EBE" w:rsidP="003461AD">
      <w:pPr>
        <w:tabs>
          <w:tab w:val="clear" w:pos="567"/>
        </w:tabs>
        <w:rPr>
          <w:color w:val="000000"/>
          <w:szCs w:val="22"/>
        </w:rPr>
      </w:pPr>
    </w:p>
    <w:p w14:paraId="645F6549" w14:textId="77777777" w:rsidR="00842EBE" w:rsidRPr="00ED54E5" w:rsidRDefault="00842EBE" w:rsidP="00372A5A">
      <w:pPr>
        <w:rPr>
          <w:i/>
          <w:iCs/>
          <w:szCs w:val="22"/>
        </w:rPr>
      </w:pPr>
      <w:r w:rsidRPr="00ED54E5">
        <w:rPr>
          <w:i/>
          <w:iCs/>
          <w:szCs w:val="22"/>
        </w:rPr>
        <w:t>Iäkkäät potilaat</w:t>
      </w:r>
    </w:p>
    <w:p w14:paraId="3ABD815A" w14:textId="77777777" w:rsidR="00842EBE" w:rsidRPr="00924EB7" w:rsidRDefault="00842EBE" w:rsidP="00372A5A">
      <w:pPr>
        <w:rPr>
          <w:szCs w:val="22"/>
        </w:rPr>
      </w:pPr>
      <w:r w:rsidRPr="00924EB7">
        <w:rPr>
          <w:szCs w:val="22"/>
        </w:rPr>
        <w:t>Annosta ei ole tarpeen muuttaa iäkkäille potilaille.</w:t>
      </w:r>
    </w:p>
    <w:p w14:paraId="13183FC0" w14:textId="77777777" w:rsidR="00842EBE" w:rsidRPr="00924EB7" w:rsidRDefault="00842EBE" w:rsidP="00372A5A">
      <w:pPr>
        <w:rPr>
          <w:szCs w:val="22"/>
        </w:rPr>
      </w:pPr>
    </w:p>
    <w:p w14:paraId="24526B5D" w14:textId="77777777" w:rsidR="00842EBE" w:rsidRPr="00ED54E5" w:rsidRDefault="00842EBE" w:rsidP="00372A5A">
      <w:pPr>
        <w:rPr>
          <w:i/>
          <w:iCs/>
          <w:szCs w:val="22"/>
        </w:rPr>
      </w:pPr>
      <w:r w:rsidRPr="00ED54E5">
        <w:rPr>
          <w:i/>
          <w:iCs/>
          <w:szCs w:val="22"/>
        </w:rPr>
        <w:t>Maksan vajaatoimintapotilaat</w:t>
      </w:r>
    </w:p>
    <w:p w14:paraId="08ED949F" w14:textId="77777777" w:rsidR="00842EBE" w:rsidRPr="00924EB7" w:rsidRDefault="00842EBE" w:rsidP="001D6F63">
      <w:pPr>
        <w:rPr>
          <w:szCs w:val="22"/>
        </w:rPr>
      </w:pPr>
      <w:r w:rsidRPr="00924EB7">
        <w:rPr>
          <w:szCs w:val="22"/>
        </w:rPr>
        <w:t>Kokemukset valmisteen käytöstä potilaille, joilla on maksan vajaatoiminta, ovat vähäisiä (ks. kohta 4.3).</w:t>
      </w:r>
    </w:p>
    <w:p w14:paraId="1D6B5654" w14:textId="77777777" w:rsidR="00842EBE" w:rsidRPr="00924EB7" w:rsidRDefault="00842EBE" w:rsidP="001D6F63">
      <w:pPr>
        <w:rPr>
          <w:szCs w:val="22"/>
        </w:rPr>
      </w:pPr>
    </w:p>
    <w:p w14:paraId="39DBA1B1" w14:textId="77777777" w:rsidR="00842EBE" w:rsidRPr="00ED54E5" w:rsidRDefault="00842EBE" w:rsidP="001D6F63">
      <w:pPr>
        <w:rPr>
          <w:i/>
          <w:iCs/>
          <w:szCs w:val="22"/>
        </w:rPr>
      </w:pPr>
      <w:r w:rsidRPr="00ED54E5">
        <w:rPr>
          <w:i/>
          <w:iCs/>
          <w:szCs w:val="22"/>
        </w:rPr>
        <w:t>Munuaisten vajaatoimintapotilaat</w:t>
      </w:r>
    </w:p>
    <w:p w14:paraId="39D6E096" w14:textId="77777777" w:rsidR="00842EBE" w:rsidRPr="00924EB7" w:rsidRDefault="00842EBE" w:rsidP="001D6F63">
      <w:pPr>
        <w:rPr>
          <w:szCs w:val="22"/>
        </w:rPr>
      </w:pPr>
      <w:r w:rsidRPr="00924EB7">
        <w:rPr>
          <w:szCs w:val="22"/>
        </w:rPr>
        <w:t>Kohtalaista tai vaikeaa munuaisten vajaatoimintaa (kreatiniinipuhdistuma &lt; 60 ml/min) sairastavien potilaiden päiväanno</w:t>
      </w:r>
      <w:r w:rsidR="00A67877">
        <w:rPr>
          <w:szCs w:val="22"/>
        </w:rPr>
        <w:t>s</w:t>
      </w:r>
      <w:r w:rsidRPr="00924EB7">
        <w:rPr>
          <w:szCs w:val="22"/>
        </w:rPr>
        <w:t xml:space="preserve"> </w:t>
      </w:r>
      <w:r w:rsidR="00A67877">
        <w:rPr>
          <w:szCs w:val="22"/>
        </w:rPr>
        <w:t>ei saa ylittää</w:t>
      </w:r>
      <w:r w:rsidRPr="00924EB7">
        <w:rPr>
          <w:szCs w:val="22"/>
        </w:rPr>
        <w:t xml:space="preserve"> 600 mg.</w:t>
      </w:r>
    </w:p>
    <w:p w14:paraId="0372B9CE" w14:textId="77777777" w:rsidR="00842EBE" w:rsidRPr="00924EB7" w:rsidRDefault="00842EBE" w:rsidP="001D6F63">
      <w:pPr>
        <w:rPr>
          <w:szCs w:val="22"/>
        </w:rPr>
      </w:pPr>
    </w:p>
    <w:p w14:paraId="634EC91C" w14:textId="77777777" w:rsidR="00842EBE" w:rsidRPr="00ED54E5" w:rsidRDefault="00924EB7" w:rsidP="001D6F63">
      <w:pPr>
        <w:rPr>
          <w:i/>
          <w:iCs/>
          <w:szCs w:val="22"/>
        </w:rPr>
      </w:pPr>
      <w:r w:rsidRPr="00ED54E5">
        <w:rPr>
          <w:i/>
          <w:iCs/>
          <w:szCs w:val="22"/>
        </w:rPr>
        <w:lastRenderedPageBreak/>
        <w:t>Pediatriset potilaat</w:t>
      </w:r>
    </w:p>
    <w:p w14:paraId="608616A1" w14:textId="77777777" w:rsidR="00842EBE" w:rsidRDefault="00842EBE" w:rsidP="001D6F63">
      <w:pPr>
        <w:rPr>
          <w:szCs w:val="22"/>
        </w:rPr>
      </w:pPr>
      <w:r w:rsidRPr="00924EB7">
        <w:rPr>
          <w:szCs w:val="22"/>
        </w:rPr>
        <w:t>Teveten-valmisteen käyttöä lapsille ja nuorille ei suositella, koska valmisteen turvallisuutta ja tehoa la</w:t>
      </w:r>
      <w:r w:rsidR="0069162F">
        <w:rPr>
          <w:szCs w:val="22"/>
        </w:rPr>
        <w:t>sten hoidossa</w:t>
      </w:r>
      <w:r w:rsidRPr="00924EB7">
        <w:rPr>
          <w:szCs w:val="22"/>
        </w:rPr>
        <w:t xml:space="preserve"> ei ole va</w:t>
      </w:r>
      <w:r w:rsidR="0069162F">
        <w:rPr>
          <w:szCs w:val="22"/>
        </w:rPr>
        <w:t>rmistettu</w:t>
      </w:r>
      <w:r w:rsidRPr="00924EB7">
        <w:rPr>
          <w:szCs w:val="22"/>
        </w:rPr>
        <w:t>.</w:t>
      </w:r>
    </w:p>
    <w:p w14:paraId="131F0811" w14:textId="77777777" w:rsidR="003461AD" w:rsidRPr="00924EB7" w:rsidRDefault="003461AD" w:rsidP="001D6F63">
      <w:pPr>
        <w:rPr>
          <w:szCs w:val="22"/>
        </w:rPr>
      </w:pPr>
    </w:p>
    <w:p w14:paraId="28852508" w14:textId="77777777" w:rsidR="00842EBE" w:rsidRPr="00924EB7" w:rsidRDefault="00842EBE" w:rsidP="0027385B">
      <w:pPr>
        <w:pStyle w:val="Heading2"/>
      </w:pPr>
      <w:proofErr w:type="spellStart"/>
      <w:r w:rsidRPr="00924EB7">
        <w:t>Vasta-aiheet</w:t>
      </w:r>
      <w:proofErr w:type="spellEnd"/>
    </w:p>
    <w:p w14:paraId="16EA67DE" w14:textId="77777777" w:rsidR="003461AD" w:rsidRDefault="003461AD" w:rsidP="001D6F63"/>
    <w:p w14:paraId="399F7FD3" w14:textId="77777777" w:rsidR="00842EBE" w:rsidRPr="00372A5A" w:rsidRDefault="00842EBE" w:rsidP="001D6F63">
      <w:pPr>
        <w:numPr>
          <w:ilvl w:val="0"/>
          <w:numId w:val="8"/>
        </w:numPr>
        <w:ind w:left="567" w:hanging="567"/>
      </w:pPr>
      <w:r w:rsidRPr="00372A5A">
        <w:t>Tunnettu yliherkkyys eprosartaanille tai jollekin valmisteen apuaineelle</w:t>
      </w:r>
    </w:p>
    <w:p w14:paraId="36F782C4" w14:textId="77777777" w:rsidR="00842EBE" w:rsidRPr="00372A5A" w:rsidRDefault="00842EBE" w:rsidP="001D6F63">
      <w:pPr>
        <w:numPr>
          <w:ilvl w:val="0"/>
          <w:numId w:val="8"/>
        </w:numPr>
        <w:ind w:left="567" w:hanging="567"/>
      </w:pPr>
      <w:r w:rsidRPr="00372A5A">
        <w:t>Vaikea maksan vajaatoiminta</w:t>
      </w:r>
    </w:p>
    <w:p w14:paraId="50606D1F" w14:textId="77777777" w:rsidR="00842EBE" w:rsidRPr="00372A5A" w:rsidRDefault="00842EBE" w:rsidP="001D6F63">
      <w:pPr>
        <w:numPr>
          <w:ilvl w:val="0"/>
          <w:numId w:val="8"/>
        </w:numPr>
        <w:ind w:left="567" w:hanging="567"/>
      </w:pPr>
      <w:r w:rsidRPr="00372A5A">
        <w:t>Toinen ja kolmas raskauskolmannes (ks. kohdat 4.4 ja 4.6).</w:t>
      </w:r>
    </w:p>
    <w:p w14:paraId="1E4728E3" w14:textId="77777777" w:rsidR="00842EBE" w:rsidRPr="001D6F63" w:rsidRDefault="009D3795" w:rsidP="001D6F63">
      <w:pPr>
        <w:numPr>
          <w:ilvl w:val="0"/>
          <w:numId w:val="8"/>
        </w:numPr>
        <w:ind w:left="567" w:hanging="567"/>
      </w:pPr>
      <w:r w:rsidRPr="00372A5A">
        <w:t>H</w:t>
      </w:r>
      <w:r w:rsidR="00842EBE" w:rsidRPr="00372A5A">
        <w:t>emodynaamisesti merkittävä molemminpuolinen renovaskulaarinen sairaus tai ainoan munuaisen valtimon vaikea ahtauma</w:t>
      </w:r>
    </w:p>
    <w:p w14:paraId="2AF85226" w14:textId="77777777" w:rsidR="003461AD" w:rsidRPr="00372A5A" w:rsidRDefault="003461AD" w:rsidP="001D6F63">
      <w:pPr>
        <w:numPr>
          <w:ilvl w:val="0"/>
          <w:numId w:val="8"/>
        </w:numPr>
        <w:ind w:left="567" w:hanging="567"/>
      </w:pPr>
      <w:r w:rsidRPr="00372A5A">
        <w:t>Teveten-valmisteen käyttö samanaikaisesti aliskireeniä sisältävien valmisteiden kanssa on vasta-aiheista, jos potilaalla on diabetes mellitus tai munuaisten vajaatoiminta (glomerulusten suodatusnopeus &lt;</w:t>
      </w:r>
      <w:r w:rsidR="00B05D48" w:rsidRPr="00372A5A">
        <w:t> </w:t>
      </w:r>
      <w:r w:rsidRPr="00372A5A">
        <w:t>60</w:t>
      </w:r>
      <w:r w:rsidR="00B05D48" w:rsidRPr="00372A5A">
        <w:t> </w:t>
      </w:r>
      <w:r w:rsidRPr="00372A5A">
        <w:t>ml/min/1,73</w:t>
      </w:r>
      <w:r w:rsidR="00B05D48" w:rsidRPr="00372A5A">
        <w:t> </w:t>
      </w:r>
      <w:r w:rsidRPr="00372A5A">
        <w:t>m</w:t>
      </w:r>
      <w:r w:rsidRPr="00A576E7">
        <w:rPr>
          <w:vertAlign w:val="superscript"/>
        </w:rPr>
        <w:t>2</w:t>
      </w:r>
      <w:r w:rsidRPr="00372A5A">
        <w:t>) (ks. kohdat 4.5 ja 5.1).</w:t>
      </w:r>
    </w:p>
    <w:p w14:paraId="137452CD" w14:textId="77777777" w:rsidR="003461AD" w:rsidRPr="003461AD" w:rsidRDefault="003461AD" w:rsidP="00372A5A">
      <w:pPr>
        <w:rPr>
          <w:szCs w:val="22"/>
        </w:rPr>
      </w:pPr>
    </w:p>
    <w:p w14:paraId="70993186" w14:textId="77777777" w:rsidR="00842EBE" w:rsidRPr="003461AD" w:rsidRDefault="00842EBE" w:rsidP="0027385B">
      <w:pPr>
        <w:pStyle w:val="Heading2"/>
      </w:pPr>
      <w:proofErr w:type="spellStart"/>
      <w:r w:rsidRPr="003461AD">
        <w:t>Varoitukset</w:t>
      </w:r>
      <w:proofErr w:type="spellEnd"/>
      <w:r w:rsidRPr="003461AD">
        <w:t xml:space="preserve"> </w:t>
      </w:r>
      <w:proofErr w:type="spellStart"/>
      <w:r w:rsidRPr="003461AD">
        <w:t>ja</w:t>
      </w:r>
      <w:proofErr w:type="spellEnd"/>
      <w:r w:rsidRPr="003461AD">
        <w:t xml:space="preserve"> </w:t>
      </w:r>
      <w:proofErr w:type="spellStart"/>
      <w:r w:rsidRPr="003461AD">
        <w:t>käyttöön</w:t>
      </w:r>
      <w:proofErr w:type="spellEnd"/>
      <w:r w:rsidRPr="003461AD">
        <w:t xml:space="preserve"> </w:t>
      </w:r>
      <w:proofErr w:type="spellStart"/>
      <w:r w:rsidRPr="003461AD">
        <w:t>liittyvät</w:t>
      </w:r>
      <w:proofErr w:type="spellEnd"/>
      <w:r w:rsidRPr="003461AD">
        <w:t xml:space="preserve"> </w:t>
      </w:r>
      <w:proofErr w:type="spellStart"/>
      <w:r w:rsidRPr="003461AD">
        <w:t>varotoimet</w:t>
      </w:r>
      <w:proofErr w:type="spellEnd"/>
    </w:p>
    <w:p w14:paraId="400DE494" w14:textId="77777777" w:rsidR="003461AD" w:rsidRDefault="003461AD">
      <w:pPr>
        <w:rPr>
          <w:szCs w:val="22"/>
          <w:u w:val="single"/>
        </w:rPr>
      </w:pPr>
    </w:p>
    <w:p w14:paraId="7006E831" w14:textId="77777777" w:rsidR="00842EBE" w:rsidRPr="00ED54E5" w:rsidRDefault="00842EBE" w:rsidP="00372A5A">
      <w:pPr>
        <w:rPr>
          <w:i/>
          <w:iCs/>
          <w:szCs w:val="22"/>
        </w:rPr>
      </w:pPr>
      <w:r w:rsidRPr="00ED54E5">
        <w:rPr>
          <w:i/>
          <w:iCs/>
          <w:szCs w:val="22"/>
        </w:rPr>
        <w:t>Maksan vajaatoiminta</w:t>
      </w:r>
    </w:p>
    <w:p w14:paraId="54068541" w14:textId="77777777" w:rsidR="00D17793" w:rsidRPr="00924EB7" w:rsidRDefault="00D17793" w:rsidP="00372A5A">
      <w:pPr>
        <w:rPr>
          <w:szCs w:val="22"/>
        </w:rPr>
      </w:pPr>
      <w:r w:rsidRPr="00924EB7">
        <w:rPr>
          <w:szCs w:val="22"/>
        </w:rPr>
        <w:t>Käytettäessä eprosartaania potilaill</w:t>
      </w:r>
      <w:r w:rsidR="00015D5D" w:rsidRPr="00924EB7">
        <w:rPr>
          <w:szCs w:val="22"/>
        </w:rPr>
        <w:t>e</w:t>
      </w:r>
      <w:r w:rsidRPr="00924EB7">
        <w:rPr>
          <w:szCs w:val="22"/>
        </w:rPr>
        <w:t>, joilla on lievä tai keskivaikea maksan vajaatoiminta, tulee noudattaa erityistä varovaisuutta, sillä kyseisestä potilasryhmästä on vain rajallinen määrä kokemusta.</w:t>
      </w:r>
    </w:p>
    <w:p w14:paraId="1932E65B" w14:textId="77777777" w:rsidR="00842EBE" w:rsidRPr="00924EB7" w:rsidRDefault="00842EBE" w:rsidP="00372A5A">
      <w:pPr>
        <w:rPr>
          <w:szCs w:val="22"/>
        </w:rPr>
      </w:pPr>
    </w:p>
    <w:p w14:paraId="50BBFF6F" w14:textId="77777777" w:rsidR="00842EBE" w:rsidRPr="00ED54E5" w:rsidRDefault="00842EBE" w:rsidP="00372A5A">
      <w:pPr>
        <w:rPr>
          <w:i/>
          <w:iCs/>
          <w:szCs w:val="22"/>
        </w:rPr>
      </w:pPr>
      <w:r w:rsidRPr="00ED54E5">
        <w:rPr>
          <w:i/>
          <w:iCs/>
          <w:szCs w:val="22"/>
        </w:rPr>
        <w:t>Munuaisten vajaatoiminta</w:t>
      </w:r>
    </w:p>
    <w:p w14:paraId="57431F03" w14:textId="77777777" w:rsidR="00842EBE" w:rsidRPr="00924EB7" w:rsidRDefault="00842EBE" w:rsidP="001D6F63">
      <w:pPr>
        <w:rPr>
          <w:szCs w:val="22"/>
        </w:rPr>
      </w:pPr>
      <w:r w:rsidRPr="00924EB7">
        <w:rPr>
          <w:szCs w:val="22"/>
        </w:rPr>
        <w:t>Annostusta ei tarvitse muuttaa potilaille, joilla on lievä tai kohtalainen munuaisten vajaatoiminta (kreatiniinipuhdistuma ≥ 30 ml/min). Eprosartaania tulee käyttää varoen potilaille, joiden kreatiniinipuhdistuma on &lt; 30 ml/min sekä potilaille, jotka saavat dialyysihoitoa.</w:t>
      </w:r>
    </w:p>
    <w:p w14:paraId="4509A030" w14:textId="77777777" w:rsidR="00842EBE" w:rsidRPr="00924EB7" w:rsidRDefault="00842EBE" w:rsidP="001D6F63">
      <w:pPr>
        <w:rPr>
          <w:szCs w:val="22"/>
        </w:rPr>
      </w:pPr>
    </w:p>
    <w:p w14:paraId="1D533312" w14:textId="77777777" w:rsidR="00842EBE" w:rsidRPr="00ED54E5" w:rsidRDefault="00842EBE" w:rsidP="001D6F63">
      <w:pPr>
        <w:rPr>
          <w:i/>
          <w:iCs/>
          <w:szCs w:val="22"/>
        </w:rPr>
      </w:pPr>
      <w:r w:rsidRPr="00ED54E5">
        <w:rPr>
          <w:i/>
          <w:iCs/>
          <w:szCs w:val="22"/>
        </w:rPr>
        <w:t xml:space="preserve">Reniini-angiotensiini-aldosteronijärjestelmästä riippuvaiset potilaat </w:t>
      </w:r>
    </w:p>
    <w:p w14:paraId="1BDB0704" w14:textId="77777777" w:rsidR="00D17793" w:rsidRPr="00924EB7" w:rsidRDefault="00D17793" w:rsidP="001D6F63">
      <w:pPr>
        <w:rPr>
          <w:szCs w:val="22"/>
          <w:u w:val="single"/>
        </w:rPr>
      </w:pPr>
      <w:r w:rsidRPr="00924EB7">
        <w:rPr>
          <w:szCs w:val="22"/>
        </w:rPr>
        <w:t xml:space="preserve">Joillakin potilailla, joiden munuaistoiminta on riippuvainen reniini-angiotensiini-aldosteronijärjestelmän jatkuvasta luontaisesta toiminnasta (esim. potilaat, joilla on vaikea sydämen vajaatoiminta (NYHA-luokitus: luokka IV), molemminpuolinen munuaisvaltimoiden ahtauma tai ainoan munuaisen munuaisvaltimon ahtauma), on ACE:n estäjähoidon aikana riski kehittää oliguria ja/tai progressiivinen atsotemia ja harvoissa tapauksissa akuutti munuaisten vajaatoiminta. Näitä tapahtumia ilmenee todennäköisemmin potilailla, joilla on samanaikainen diureettilääkitys. Angiotensiini II </w:t>
      </w:r>
      <w:r w:rsidR="00015D5D" w:rsidRPr="00924EB7">
        <w:rPr>
          <w:szCs w:val="22"/>
        </w:rPr>
        <w:t>-</w:t>
      </w:r>
      <w:r w:rsidRPr="00924EB7">
        <w:rPr>
          <w:szCs w:val="22"/>
        </w:rPr>
        <w:t>reseptorin salpaajista, kuten eprosartaanista, ei ole riittävää kokemusta, jotta voitaisiin päätellä, onko ylläkuvatuilla herkillä potilailla samanlainen riski munuaistoiminnan heikkenemiseen. Kun eprosartaania käytetään munuaisten vajaatoimintaa sairastaville potilaille, munuaistoiminta on tutkittava ennen eprosartaanihoidon aloittamista ja säännöllisesti hoidon aikana. Jos munuaistoiminnnan havaitaan hoidon aikana heikkenevän, eprosartaanihoidon tarve on uudelleen arvioitava.</w:t>
      </w:r>
    </w:p>
    <w:p w14:paraId="3CA8F740" w14:textId="77777777" w:rsidR="00842EBE" w:rsidRPr="00924EB7" w:rsidRDefault="00842EBE" w:rsidP="001D6F63">
      <w:pPr>
        <w:rPr>
          <w:szCs w:val="22"/>
        </w:rPr>
      </w:pPr>
    </w:p>
    <w:p w14:paraId="39222113" w14:textId="77777777" w:rsidR="00842EBE" w:rsidRPr="00924EB7" w:rsidRDefault="00842EBE" w:rsidP="001D6F63">
      <w:pPr>
        <w:rPr>
          <w:szCs w:val="22"/>
        </w:rPr>
      </w:pPr>
      <w:r w:rsidRPr="00924EB7">
        <w:rPr>
          <w:szCs w:val="22"/>
        </w:rPr>
        <w:t>Seuraavia varotoimenpiteitä sovelletaan muista tähän luokkaan kuuluvista lääkkeistä ja ACE:n estäjistä saatujen kokemusten perusteella:</w:t>
      </w:r>
    </w:p>
    <w:p w14:paraId="6D5BB309" w14:textId="77777777" w:rsidR="00842EBE" w:rsidRPr="00924EB7" w:rsidRDefault="00842EBE" w:rsidP="001D6F63">
      <w:pPr>
        <w:rPr>
          <w:szCs w:val="22"/>
        </w:rPr>
      </w:pPr>
    </w:p>
    <w:p w14:paraId="71F05801" w14:textId="77777777" w:rsidR="00842EBE" w:rsidRPr="00ED54E5" w:rsidRDefault="00842EBE" w:rsidP="001D6F63">
      <w:pPr>
        <w:rPr>
          <w:i/>
          <w:iCs/>
          <w:szCs w:val="22"/>
        </w:rPr>
      </w:pPr>
      <w:r w:rsidRPr="00ED54E5">
        <w:rPr>
          <w:i/>
          <w:iCs/>
          <w:szCs w:val="22"/>
        </w:rPr>
        <w:t>Hyperkalemia</w:t>
      </w:r>
    </w:p>
    <w:p w14:paraId="2C6D0265" w14:textId="77777777" w:rsidR="00842EBE" w:rsidRPr="00924EB7" w:rsidRDefault="00842EBE" w:rsidP="001D6F63">
      <w:pPr>
        <w:rPr>
          <w:szCs w:val="22"/>
        </w:rPr>
      </w:pPr>
      <w:r w:rsidRPr="00924EB7">
        <w:rPr>
          <w:szCs w:val="22"/>
        </w:rPr>
        <w:t>Käytettäessä muita lääkkeitä, jotka vaikuttavat reniini-angiotensiini-aldosteronijärjestelmään, hyperkalemiaa voi ilmetä erityisesti jos potilaalla on munuaisten vajaatoiminta ja/tai sydämen vajaatoiminta. Seerumin kaliumarvojen seurantaa suositellaan näille potilaille.</w:t>
      </w:r>
    </w:p>
    <w:p w14:paraId="6D01A30C" w14:textId="77777777" w:rsidR="00842EBE" w:rsidRPr="00924EB7" w:rsidRDefault="00842EBE" w:rsidP="001D6F63">
      <w:pPr>
        <w:rPr>
          <w:szCs w:val="22"/>
        </w:rPr>
      </w:pPr>
    </w:p>
    <w:p w14:paraId="72D8F2B3" w14:textId="77777777" w:rsidR="00842EBE" w:rsidRPr="00924EB7" w:rsidRDefault="00842EBE" w:rsidP="001D6F63">
      <w:pPr>
        <w:rPr>
          <w:szCs w:val="22"/>
        </w:rPr>
      </w:pPr>
      <w:r w:rsidRPr="00924EB7">
        <w:rPr>
          <w:szCs w:val="22"/>
        </w:rPr>
        <w:t>Muiden reniini-angiotensiini-aldosteronijärjestelmään vaikuttavien lääkkeiden käyttökokemusten perusteella kaliumia säästävien diureettien, kaliumlisien, kaliumia sisältävien ruokasuolan korvikkeiden tai muiden kaliumpitoisuuksia mahdollisesti nostavien lääkeaineiden (esim. hepariini</w:t>
      </w:r>
      <w:r w:rsidR="001C60F0">
        <w:rPr>
          <w:szCs w:val="22"/>
        </w:rPr>
        <w:t>, trimetopriimia sisältävät lääkevalmisteet</w:t>
      </w:r>
      <w:r w:rsidRPr="00924EB7">
        <w:rPr>
          <w:szCs w:val="22"/>
        </w:rPr>
        <w:t xml:space="preserve">) samanaikainen käyttö voi johtaa seerumin kaliumin kohoamiseen. Tästä syystä näitä </w:t>
      </w:r>
      <w:r w:rsidR="00B34B8B">
        <w:rPr>
          <w:szCs w:val="22"/>
        </w:rPr>
        <w:t>valmisteit</w:t>
      </w:r>
      <w:r w:rsidR="00A67877">
        <w:rPr>
          <w:szCs w:val="22"/>
        </w:rPr>
        <w:t>a</w:t>
      </w:r>
      <w:r w:rsidRPr="00924EB7">
        <w:rPr>
          <w:szCs w:val="22"/>
        </w:rPr>
        <w:t xml:space="preserve"> on </w:t>
      </w:r>
      <w:r w:rsidR="00A67877">
        <w:rPr>
          <w:szCs w:val="22"/>
        </w:rPr>
        <w:t>käytettävä</w:t>
      </w:r>
      <w:r w:rsidRPr="00924EB7">
        <w:rPr>
          <w:szCs w:val="22"/>
        </w:rPr>
        <w:t xml:space="preserve"> varoen Tevetenin kanssa.</w:t>
      </w:r>
    </w:p>
    <w:p w14:paraId="07E3BA3C" w14:textId="77777777" w:rsidR="00842EBE" w:rsidRDefault="00842EBE" w:rsidP="001D6F63">
      <w:pPr>
        <w:rPr>
          <w:szCs w:val="22"/>
          <w:u w:val="single"/>
        </w:rPr>
      </w:pPr>
    </w:p>
    <w:p w14:paraId="466C575A" w14:textId="77777777" w:rsidR="002B4EA0" w:rsidRPr="00ED54E5" w:rsidRDefault="002B4EA0" w:rsidP="002B4EA0">
      <w:pPr>
        <w:rPr>
          <w:i/>
          <w:iCs/>
          <w:szCs w:val="22"/>
        </w:rPr>
      </w:pPr>
      <w:r w:rsidRPr="00ED54E5">
        <w:rPr>
          <w:i/>
          <w:iCs/>
          <w:szCs w:val="22"/>
        </w:rPr>
        <w:t>Reniini-angiotensiini-aldosteronijärjestelmän (RAA-järjestelmä) kaksoisesto</w:t>
      </w:r>
    </w:p>
    <w:p w14:paraId="45600371" w14:textId="77777777" w:rsidR="002B4EA0" w:rsidRPr="001D6F63" w:rsidRDefault="002B4EA0" w:rsidP="002B4EA0">
      <w:pPr>
        <w:rPr>
          <w:szCs w:val="22"/>
        </w:rPr>
      </w:pPr>
      <w:r w:rsidRPr="001D6F63">
        <w:rPr>
          <w:szCs w:val="22"/>
        </w:rPr>
        <w:t xml:space="preserve">On olemassa näyttöä siitä, että ACE:n estäjien, angiotensiini II -reseptorin salpaajien tai aliskireenin samanaikainen käyttö lisää hypotension, hyperkalemian ja munuaisten toiminnan heikkenemisen </w:t>
      </w:r>
      <w:r w:rsidRPr="001D6F63">
        <w:rPr>
          <w:szCs w:val="22"/>
        </w:rPr>
        <w:lastRenderedPageBreak/>
        <w:t>(mukaan lukien akuutin munuaisten vajaatoiminnan) riskiä. Sen vuoksi RAA-järjestelmän kaksoisestoa ACE:n estäjien, angiotensiini II -reseptorin salpaajien tai aliskireenin samanaikaisen käytön avulla ei suositella (ks. kohdat 4.5 ja 5.1).</w:t>
      </w:r>
    </w:p>
    <w:p w14:paraId="0F70E789" w14:textId="77777777" w:rsidR="002B4EA0" w:rsidRPr="001D6F63" w:rsidRDefault="002B4EA0" w:rsidP="00C117A0">
      <w:pPr>
        <w:rPr>
          <w:szCs w:val="22"/>
        </w:rPr>
      </w:pPr>
      <w:r w:rsidRPr="001D6F63">
        <w:rPr>
          <w:szCs w:val="22"/>
        </w:rPr>
        <w:t>Jos kaksoisestohoitoa pidetään täysin välttämättömänä, sitä on annettava vain erikoislääkärin valvonnassa ja munuaisten toimintaa, elektrolyyttejä ja verenpainetta on tarkkailtava tiheästi ja huolellisesti.</w:t>
      </w:r>
      <w:r w:rsidR="00C117A0" w:rsidRPr="001D6F63">
        <w:rPr>
          <w:szCs w:val="22"/>
        </w:rPr>
        <w:t xml:space="preserve"> </w:t>
      </w:r>
      <w:r w:rsidRPr="001D6F63">
        <w:rPr>
          <w:szCs w:val="22"/>
        </w:rPr>
        <w:t>ACE:n estäjiä ja angiotensiini II -reseptorin salpaajia ei pidä käyttää samanaikaisesti potilaille, joilla on diabeettinen nefropatia.</w:t>
      </w:r>
    </w:p>
    <w:p w14:paraId="796F324E" w14:textId="77777777" w:rsidR="002B4EA0" w:rsidRPr="00924EB7" w:rsidRDefault="002B4EA0" w:rsidP="00372A5A">
      <w:pPr>
        <w:rPr>
          <w:szCs w:val="22"/>
          <w:u w:val="single"/>
        </w:rPr>
      </w:pPr>
    </w:p>
    <w:p w14:paraId="39E9DBBD" w14:textId="77777777" w:rsidR="00842EBE" w:rsidRPr="00ED54E5" w:rsidRDefault="00842EBE" w:rsidP="00372A5A">
      <w:pPr>
        <w:rPr>
          <w:i/>
          <w:iCs/>
          <w:szCs w:val="22"/>
        </w:rPr>
      </w:pPr>
      <w:r w:rsidRPr="00ED54E5">
        <w:rPr>
          <w:i/>
          <w:iCs/>
          <w:szCs w:val="22"/>
        </w:rPr>
        <w:t>Primaarinen hyperaldosteronismi</w:t>
      </w:r>
    </w:p>
    <w:p w14:paraId="5B9FAFCF" w14:textId="77777777" w:rsidR="00842EBE" w:rsidRPr="00924EB7" w:rsidRDefault="00842EBE" w:rsidP="00372A5A">
      <w:pPr>
        <w:rPr>
          <w:szCs w:val="22"/>
        </w:rPr>
      </w:pPr>
      <w:r w:rsidRPr="00924EB7">
        <w:rPr>
          <w:szCs w:val="22"/>
        </w:rPr>
        <w:t>Potilaille, joilla on primaarinen hyperaldosteronismi, ei suositella eprosartaania.</w:t>
      </w:r>
    </w:p>
    <w:p w14:paraId="18288359" w14:textId="77777777" w:rsidR="00842EBE" w:rsidRPr="00924EB7" w:rsidRDefault="00842EBE" w:rsidP="00372A5A">
      <w:pPr>
        <w:rPr>
          <w:szCs w:val="22"/>
        </w:rPr>
      </w:pPr>
    </w:p>
    <w:p w14:paraId="6543BD6E" w14:textId="77777777" w:rsidR="00842EBE" w:rsidRPr="00ED54E5" w:rsidRDefault="00D17793" w:rsidP="001D6F63">
      <w:pPr>
        <w:rPr>
          <w:i/>
          <w:iCs/>
          <w:szCs w:val="22"/>
        </w:rPr>
      </w:pPr>
      <w:r w:rsidRPr="00ED54E5">
        <w:rPr>
          <w:i/>
          <w:iCs/>
          <w:szCs w:val="22"/>
        </w:rPr>
        <w:t>Hypotensio</w:t>
      </w:r>
    </w:p>
    <w:p w14:paraId="72C70577" w14:textId="77777777" w:rsidR="00842EBE" w:rsidRPr="00924EB7" w:rsidRDefault="00A67877" w:rsidP="001D6F63">
      <w:pPr>
        <w:rPr>
          <w:szCs w:val="22"/>
        </w:rPr>
      </w:pPr>
      <w:r>
        <w:rPr>
          <w:szCs w:val="22"/>
        </w:rPr>
        <w:t>O</w:t>
      </w:r>
      <w:r w:rsidR="00842EBE" w:rsidRPr="00924EB7">
        <w:rPr>
          <w:szCs w:val="22"/>
        </w:rPr>
        <w:t>ireista hypotensiota</w:t>
      </w:r>
      <w:r>
        <w:rPr>
          <w:szCs w:val="22"/>
        </w:rPr>
        <w:t xml:space="preserve"> voi esiintyä</w:t>
      </w:r>
      <w:r w:rsidR="00842EBE" w:rsidRPr="00924EB7">
        <w:rPr>
          <w:szCs w:val="22"/>
        </w:rPr>
        <w:t xml:space="preserve"> potilailla, joilla on vaikea natrium- ja/tai nestevajaus (esim. suuriannoksista diureettihoitoa saavat). Nämä häiriöt on hoidettava ennen Teveten-hoidon aloittamista.</w:t>
      </w:r>
    </w:p>
    <w:p w14:paraId="5829A4A2" w14:textId="77777777" w:rsidR="00842EBE" w:rsidRPr="00924EB7" w:rsidRDefault="00842EBE" w:rsidP="001D6F63">
      <w:pPr>
        <w:rPr>
          <w:szCs w:val="22"/>
          <w:u w:val="single"/>
        </w:rPr>
      </w:pPr>
    </w:p>
    <w:p w14:paraId="509DC52D" w14:textId="77777777" w:rsidR="00842EBE" w:rsidRPr="00ED54E5" w:rsidRDefault="00842EBE" w:rsidP="001D6F63">
      <w:pPr>
        <w:rPr>
          <w:i/>
          <w:iCs/>
          <w:szCs w:val="22"/>
        </w:rPr>
      </w:pPr>
      <w:r w:rsidRPr="00ED54E5">
        <w:rPr>
          <w:i/>
          <w:iCs/>
          <w:szCs w:val="22"/>
        </w:rPr>
        <w:t>Sepelvaltimotauti</w:t>
      </w:r>
    </w:p>
    <w:p w14:paraId="4FA21F85" w14:textId="77777777" w:rsidR="00842EBE" w:rsidRPr="00924EB7" w:rsidRDefault="00842EBE" w:rsidP="001D6F63">
      <w:pPr>
        <w:rPr>
          <w:szCs w:val="22"/>
        </w:rPr>
      </w:pPr>
      <w:r w:rsidRPr="00924EB7">
        <w:rPr>
          <w:szCs w:val="22"/>
        </w:rPr>
        <w:t>Käytöstä sepelvaltimotautipotilaille on vain vähän kokemusta.</w:t>
      </w:r>
    </w:p>
    <w:p w14:paraId="19A018CC" w14:textId="77777777" w:rsidR="00842EBE" w:rsidRPr="00924EB7" w:rsidRDefault="00842EBE" w:rsidP="001D6F63">
      <w:pPr>
        <w:rPr>
          <w:szCs w:val="22"/>
        </w:rPr>
      </w:pPr>
    </w:p>
    <w:p w14:paraId="2DE3F7AB" w14:textId="77777777" w:rsidR="00842EBE" w:rsidRPr="00ED54E5" w:rsidRDefault="00842EBE" w:rsidP="001D6F63">
      <w:pPr>
        <w:rPr>
          <w:i/>
          <w:iCs/>
          <w:szCs w:val="22"/>
        </w:rPr>
      </w:pPr>
      <w:r w:rsidRPr="00ED54E5">
        <w:rPr>
          <w:i/>
          <w:iCs/>
          <w:szCs w:val="22"/>
        </w:rPr>
        <w:t>Aortta- ja mitraaliläpän ahtauma / hypertrofinen kardiomyopatia</w:t>
      </w:r>
    </w:p>
    <w:p w14:paraId="1DA11F62" w14:textId="77777777" w:rsidR="00842EBE" w:rsidRPr="00924EB7" w:rsidRDefault="00842EBE" w:rsidP="001D6F63">
      <w:pPr>
        <w:rPr>
          <w:szCs w:val="22"/>
        </w:rPr>
      </w:pPr>
      <w:r w:rsidRPr="00924EB7">
        <w:rPr>
          <w:szCs w:val="22"/>
        </w:rPr>
        <w:t>Muiden vasodilataattorien tavoin eprosartaania on käytettävä varoen potilaille, joilla on aortta- tai mitraaliläpän ahtauma tai hypertrofinen kardiomyopatia.</w:t>
      </w:r>
    </w:p>
    <w:p w14:paraId="493DB849" w14:textId="77777777" w:rsidR="00842EBE" w:rsidRPr="00924EB7" w:rsidRDefault="00842EBE" w:rsidP="001D6F63">
      <w:pPr>
        <w:rPr>
          <w:szCs w:val="22"/>
        </w:rPr>
      </w:pPr>
    </w:p>
    <w:p w14:paraId="5FD39F82" w14:textId="77777777" w:rsidR="00842EBE" w:rsidRPr="00ED54E5" w:rsidRDefault="00842EBE" w:rsidP="001D6F63">
      <w:pPr>
        <w:rPr>
          <w:i/>
          <w:iCs/>
          <w:szCs w:val="22"/>
        </w:rPr>
      </w:pPr>
      <w:r w:rsidRPr="00ED54E5">
        <w:rPr>
          <w:i/>
          <w:iCs/>
          <w:szCs w:val="22"/>
        </w:rPr>
        <w:t>Munuaisensiirto</w:t>
      </w:r>
    </w:p>
    <w:p w14:paraId="549B3A02" w14:textId="77777777" w:rsidR="00842EBE" w:rsidRPr="00924EB7" w:rsidRDefault="00842EBE" w:rsidP="001D6F63">
      <w:pPr>
        <w:rPr>
          <w:szCs w:val="22"/>
        </w:rPr>
      </w:pPr>
      <w:r w:rsidRPr="00924EB7">
        <w:rPr>
          <w:szCs w:val="22"/>
        </w:rPr>
        <w:t>Käytöstä potilaille, joille on hiljattain tehty munuaisensiirto, ei ole kokemusta.</w:t>
      </w:r>
    </w:p>
    <w:p w14:paraId="620D3B43" w14:textId="77777777" w:rsidR="00842EBE" w:rsidRPr="00924EB7" w:rsidRDefault="00842EBE" w:rsidP="001D6F63">
      <w:pPr>
        <w:rPr>
          <w:szCs w:val="22"/>
        </w:rPr>
      </w:pPr>
    </w:p>
    <w:p w14:paraId="30A75FB1" w14:textId="77777777" w:rsidR="00842EBE" w:rsidRPr="00ED54E5" w:rsidRDefault="00842EBE" w:rsidP="001D6F63">
      <w:pPr>
        <w:rPr>
          <w:i/>
          <w:iCs/>
          <w:szCs w:val="22"/>
        </w:rPr>
      </w:pPr>
      <w:r w:rsidRPr="00ED54E5">
        <w:rPr>
          <w:i/>
          <w:iCs/>
          <w:szCs w:val="22"/>
        </w:rPr>
        <w:t>Raskaus</w:t>
      </w:r>
    </w:p>
    <w:p w14:paraId="200EE7CA" w14:textId="77777777" w:rsidR="00842EBE" w:rsidRPr="00924EB7" w:rsidRDefault="00842EBE" w:rsidP="001D6F63">
      <w:pPr>
        <w:rPr>
          <w:szCs w:val="22"/>
        </w:rPr>
      </w:pPr>
      <w:r w:rsidRPr="00924EB7">
        <w:rPr>
          <w:szCs w:val="22"/>
        </w:rPr>
        <w:t xml:space="preserve">Angiotensiini II </w:t>
      </w:r>
      <w:r w:rsidR="00015D5D" w:rsidRPr="00924EB7">
        <w:rPr>
          <w:szCs w:val="22"/>
        </w:rPr>
        <w:t>-</w:t>
      </w:r>
      <w:r w:rsidRPr="00924EB7">
        <w:rPr>
          <w:szCs w:val="22"/>
        </w:rPr>
        <w:t>reseptorin salpaajien käyttöä ei pidä aloittaa raskauden aikana. Jos angiotensiini II -reseptorin salpaajia käyttävä nainen aikoo tulla raskaaksi, hänelle on vaihdettava muu, raskauden aikanakin turvallinen verenpainelääkitys, ellei angiotensiini II -reseptorin salpaajien käyttöä pidetä välttämättömänä. Kun raskaus todetaan, angiotensiini II -reseptorin salpaajien käyttö on lopetettava heti, ja tarvittaessa on aloitettava muu lääkitys (ks. kohdat 4.3 ja 4.6).</w:t>
      </w:r>
    </w:p>
    <w:p w14:paraId="76DEE5BB" w14:textId="77777777" w:rsidR="00842EBE" w:rsidRPr="00924EB7" w:rsidRDefault="00842EBE" w:rsidP="001D6F63">
      <w:pPr>
        <w:rPr>
          <w:szCs w:val="22"/>
        </w:rPr>
      </w:pPr>
    </w:p>
    <w:p w14:paraId="60201D5C" w14:textId="77777777" w:rsidR="00842EBE" w:rsidRPr="00ED54E5" w:rsidRDefault="00842EBE" w:rsidP="001D6F63">
      <w:pPr>
        <w:rPr>
          <w:i/>
          <w:iCs/>
          <w:szCs w:val="22"/>
        </w:rPr>
      </w:pPr>
      <w:r w:rsidRPr="00ED54E5">
        <w:rPr>
          <w:i/>
          <w:iCs/>
          <w:szCs w:val="22"/>
        </w:rPr>
        <w:t>Muut varoitukset ja varotoimenpiteet</w:t>
      </w:r>
    </w:p>
    <w:p w14:paraId="4B1337F3" w14:textId="77777777" w:rsidR="00842EBE" w:rsidRPr="00924EB7" w:rsidRDefault="00842EBE" w:rsidP="001D6F63">
      <w:pPr>
        <w:rPr>
          <w:szCs w:val="22"/>
        </w:rPr>
      </w:pPr>
      <w:r w:rsidRPr="00924EB7">
        <w:rPr>
          <w:szCs w:val="22"/>
        </w:rPr>
        <w:t>Kuten ACE:n estäjien käytön yhteydessä on havaittu, myös eprosartaani ja muut angiotensiini</w:t>
      </w:r>
      <w:r w:rsidR="007C7A47">
        <w:rPr>
          <w:szCs w:val="22"/>
        </w:rPr>
        <w:t xml:space="preserve"> II -</w:t>
      </w:r>
      <w:r w:rsidRPr="00924EB7">
        <w:rPr>
          <w:szCs w:val="22"/>
        </w:rPr>
        <w:t>reseptorin salpaajat ovat vähemmän tehokkaita laskemaan verenpainetta mustaihoisilta muihin etnisiin ryhmiin verrattuna. Tämän epäillään johtuvan mustaihoisilla yleisemmistä matalista reniinipitoisuuksista.</w:t>
      </w:r>
    </w:p>
    <w:p w14:paraId="3B5643D6" w14:textId="77777777" w:rsidR="00842EBE" w:rsidRPr="00924EB7" w:rsidRDefault="00842EBE" w:rsidP="001D6F63">
      <w:pPr>
        <w:rPr>
          <w:szCs w:val="22"/>
        </w:rPr>
      </w:pPr>
    </w:p>
    <w:p w14:paraId="77754B6B" w14:textId="77777777" w:rsidR="00842EBE" w:rsidRDefault="00842EBE" w:rsidP="001D6F63">
      <w:pPr>
        <w:rPr>
          <w:szCs w:val="22"/>
        </w:rPr>
      </w:pPr>
      <w:r w:rsidRPr="00924EB7">
        <w:rPr>
          <w:szCs w:val="22"/>
        </w:rPr>
        <w:t>Tätä valmistetta ei pidä käyttää potilaille, joilla on</w:t>
      </w:r>
      <w:r w:rsidR="00A67877">
        <w:rPr>
          <w:szCs w:val="22"/>
        </w:rPr>
        <w:t xml:space="preserve"> harvinainen</w:t>
      </w:r>
      <w:r w:rsidRPr="00924EB7">
        <w:rPr>
          <w:szCs w:val="22"/>
        </w:rPr>
        <w:t xml:space="preserve"> perinnöllinen galaktoosi-intoleranssi, </w:t>
      </w:r>
      <w:r w:rsidR="00A67877">
        <w:rPr>
          <w:szCs w:val="22"/>
        </w:rPr>
        <w:t>täydellinen</w:t>
      </w:r>
      <w:r w:rsidRPr="00924EB7">
        <w:rPr>
          <w:szCs w:val="22"/>
        </w:rPr>
        <w:t xml:space="preserve"> laktaasinpuutos tai glukoosi-galaktoosi-imeytymishäiriö.</w:t>
      </w:r>
    </w:p>
    <w:p w14:paraId="69DB508A" w14:textId="77777777" w:rsidR="00D523C8" w:rsidRPr="00924EB7" w:rsidRDefault="00D523C8" w:rsidP="001D6F63">
      <w:pPr>
        <w:rPr>
          <w:szCs w:val="22"/>
        </w:rPr>
      </w:pPr>
    </w:p>
    <w:p w14:paraId="1DADA3F6" w14:textId="77777777" w:rsidR="00842EBE" w:rsidRPr="00A576E7" w:rsidRDefault="00842EBE" w:rsidP="0027385B">
      <w:pPr>
        <w:pStyle w:val="Heading2"/>
        <w:rPr>
          <w:lang w:val="fi-FI"/>
        </w:rPr>
      </w:pPr>
      <w:r w:rsidRPr="00A576E7">
        <w:rPr>
          <w:lang w:val="fi-FI"/>
        </w:rPr>
        <w:t>Yhteisvaikutukset muiden lääkevalmisteiden kanssa sekä muut yhteisvaikutukset</w:t>
      </w:r>
    </w:p>
    <w:p w14:paraId="2977E870" w14:textId="77777777" w:rsidR="00D523C8" w:rsidRDefault="00D523C8">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p>
    <w:p w14:paraId="781CE2E1" w14:textId="77777777" w:rsidR="00842EBE" w:rsidRPr="00924EB7" w:rsidRDefault="00842EBE" w:rsidP="00372A5A">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r w:rsidRPr="00924EB7">
        <w:rPr>
          <w:color w:val="000000"/>
          <w:szCs w:val="22"/>
        </w:rPr>
        <w:t>Lumekontrolloiduissa kokeissa</w:t>
      </w:r>
      <w:r w:rsidR="00A67877">
        <w:rPr>
          <w:color w:val="000000"/>
          <w:szCs w:val="22"/>
        </w:rPr>
        <w:t xml:space="preserve"> on havaittu</w:t>
      </w:r>
      <w:r w:rsidRPr="00924EB7">
        <w:rPr>
          <w:color w:val="000000"/>
          <w:szCs w:val="22"/>
        </w:rPr>
        <w:t xml:space="preserve"> merkittävästi kohonnei</w:t>
      </w:r>
      <w:r w:rsidR="00A67877">
        <w:rPr>
          <w:color w:val="000000"/>
          <w:szCs w:val="22"/>
        </w:rPr>
        <w:t>ta</w:t>
      </w:r>
      <w:r w:rsidRPr="00924EB7">
        <w:rPr>
          <w:color w:val="000000"/>
          <w:szCs w:val="22"/>
        </w:rPr>
        <w:t xml:space="preserve"> kaliumarvoj</w:t>
      </w:r>
      <w:r w:rsidR="00A67877">
        <w:rPr>
          <w:color w:val="000000"/>
          <w:szCs w:val="22"/>
        </w:rPr>
        <w:t>a.</w:t>
      </w:r>
      <w:r w:rsidRPr="00924EB7">
        <w:rPr>
          <w:color w:val="000000"/>
          <w:szCs w:val="22"/>
        </w:rPr>
        <w:t xml:space="preserve"> </w:t>
      </w:r>
      <w:r w:rsidR="00A67877">
        <w:rPr>
          <w:color w:val="000000"/>
          <w:szCs w:val="22"/>
        </w:rPr>
        <w:t>P</w:t>
      </w:r>
      <w:r w:rsidRPr="00924EB7">
        <w:rPr>
          <w:color w:val="000000"/>
          <w:szCs w:val="22"/>
        </w:rPr>
        <w:t>erustuen muiden reniini-angiotensiini-aldosteronijärjestelmään vaikuttavien lääkkeiden käytöstä saatuun kokemukseen, kaliumia säästävien diureettien, kaliumlis</w:t>
      </w:r>
      <w:r w:rsidR="00A67877">
        <w:rPr>
          <w:color w:val="000000"/>
          <w:szCs w:val="22"/>
        </w:rPr>
        <w:t>ie</w:t>
      </w:r>
      <w:r w:rsidRPr="00924EB7">
        <w:rPr>
          <w:color w:val="000000"/>
          <w:szCs w:val="22"/>
        </w:rPr>
        <w:t>n, kaliumpitoisten suolankorvikkeiden tai muiden seerumin kaliumarvoja mahdollisesti suurentavien lääkkeiden (esim. hepariini</w:t>
      </w:r>
      <w:r w:rsidR="00540FED">
        <w:rPr>
          <w:color w:val="000000"/>
          <w:szCs w:val="22"/>
        </w:rPr>
        <w:t>, trimetopriimia sisältävät lääkevalmisteet</w:t>
      </w:r>
      <w:r w:rsidRPr="00924EB7">
        <w:rPr>
          <w:color w:val="000000"/>
          <w:szCs w:val="22"/>
        </w:rPr>
        <w:t>) samanaikainen käyttö saattaa aiheuttaa seerumin kaliumpitoisuuden suurenemista.</w:t>
      </w:r>
    </w:p>
    <w:p w14:paraId="0738DBE9" w14:textId="77777777" w:rsidR="00842EBE" w:rsidRDefault="00842EBE" w:rsidP="001D6F63">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p>
    <w:p w14:paraId="2B592B06" w14:textId="77777777" w:rsidR="002B4EA0" w:rsidRDefault="002B4EA0" w:rsidP="001D6F63">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r w:rsidRPr="002B4EA0">
        <w:rPr>
          <w:color w:val="000000"/>
          <w:szCs w:val="22"/>
        </w:rPr>
        <w:t>Kliinisissä tutkimuksissa on havaittu, että reniini-angiotensiini-aldosteronijärjestelmän (RAA-järjestelmä) kaksoisestoon ACE:n estäjien, angiotensiini II -reseptorin salpaajien tai aliskireenin samanaikaisen käytön avulla liittyy haittavaikutusten, esimerkiksi hypotension, hyperkalemian ja munuaisten toiminnan heikkenemisen (mukaan lukien akuutin munuaisten vajaatoiminnan) suurentunut esiintyvyys vain yhden RAA-järjestelmään vaikuttavan aineen käyttöön verrattun</w:t>
      </w:r>
      <w:r>
        <w:rPr>
          <w:color w:val="000000"/>
          <w:szCs w:val="22"/>
        </w:rPr>
        <w:t>a (ks. kohdat 4.3, 4.4 ja 5.1).</w:t>
      </w:r>
    </w:p>
    <w:p w14:paraId="16D4538F" w14:textId="77777777" w:rsidR="002B4EA0" w:rsidRPr="00924EB7" w:rsidRDefault="002B4EA0" w:rsidP="001D6F63">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p>
    <w:p w14:paraId="6A964846" w14:textId="77777777" w:rsidR="00842EBE" w:rsidRPr="00924EB7" w:rsidRDefault="00842EBE" w:rsidP="001D6F63">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r w:rsidRPr="00924EB7">
        <w:rPr>
          <w:color w:val="000000"/>
          <w:szCs w:val="22"/>
        </w:rPr>
        <w:t>Muut verenpainelääkkeet saattavat voimistaa antihypertensiivistä vaikutusta.</w:t>
      </w:r>
    </w:p>
    <w:p w14:paraId="225F8F88" w14:textId="77777777" w:rsidR="00842EBE" w:rsidRPr="00924EB7" w:rsidRDefault="00842EBE" w:rsidP="001D6F63">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p>
    <w:p w14:paraId="47120FAD" w14:textId="77777777" w:rsidR="00842EBE" w:rsidRPr="00924EB7" w:rsidRDefault="00842EBE" w:rsidP="001D6F63">
      <w:pPr>
        <w:rPr>
          <w:color w:val="000000"/>
          <w:szCs w:val="22"/>
        </w:rPr>
      </w:pPr>
      <w:r w:rsidRPr="00924EB7">
        <w:rPr>
          <w:color w:val="000000"/>
          <w:szCs w:val="22"/>
        </w:rPr>
        <w:t>Toksisuutta ja korjaantuvaa seerumin litiumpitoisuuden suurenemista on ilmoitettu käytettäessä samanaikaisesti litiumvalmisteita ja ACE:n estäjiä. Samankaltaisen yhteisvaikutuksen olemassaoloa ei voida poissulkea eprosartaanin käytön yhteydessä ja siksi suositellaan huolellista seerumin litiumpitoisuuden seurantaa näiden lääkkeiden yhteiskäytössä.</w:t>
      </w:r>
    </w:p>
    <w:p w14:paraId="1AF02D53" w14:textId="77777777" w:rsidR="00842EBE" w:rsidRPr="00924EB7" w:rsidRDefault="00842EBE" w:rsidP="001D6F63">
      <w:pPr>
        <w:rPr>
          <w:color w:val="000000"/>
          <w:szCs w:val="22"/>
        </w:rPr>
      </w:pPr>
    </w:p>
    <w:p w14:paraId="0B079BF4" w14:textId="77777777" w:rsidR="00842EBE" w:rsidRPr="00924EB7" w:rsidRDefault="00842EBE" w:rsidP="001D6F63">
      <w:pPr>
        <w:rPr>
          <w:color w:val="000000"/>
          <w:szCs w:val="22"/>
        </w:rPr>
      </w:pPr>
      <w:r w:rsidRPr="00924EB7">
        <w:rPr>
          <w:color w:val="000000"/>
          <w:szCs w:val="22"/>
        </w:rPr>
        <w:t xml:space="preserve">Eprosartaanin ei ole todettu </w:t>
      </w:r>
      <w:r w:rsidRPr="00924EB7">
        <w:rPr>
          <w:i/>
          <w:color w:val="000000"/>
          <w:szCs w:val="22"/>
        </w:rPr>
        <w:t>in vitro</w:t>
      </w:r>
      <w:r w:rsidRPr="00924EB7">
        <w:rPr>
          <w:color w:val="000000"/>
          <w:szCs w:val="22"/>
        </w:rPr>
        <w:t xml:space="preserve"> estävän sytokromi P450 </w:t>
      </w:r>
      <w:r w:rsidR="00015D5D" w:rsidRPr="00924EB7">
        <w:rPr>
          <w:color w:val="000000"/>
          <w:szCs w:val="22"/>
        </w:rPr>
        <w:t>-</w:t>
      </w:r>
      <w:r w:rsidRPr="00924EB7">
        <w:rPr>
          <w:color w:val="000000"/>
          <w:szCs w:val="22"/>
        </w:rPr>
        <w:t>entsyymejä CYP1A, 2A6, 2C9/8, 2C19, 2D6, 2E ja 3A ihmisellä.</w:t>
      </w:r>
    </w:p>
    <w:p w14:paraId="3DF6881A" w14:textId="77777777" w:rsidR="00D17793" w:rsidRPr="00924EB7" w:rsidRDefault="00D17793" w:rsidP="001D6F63">
      <w:pPr>
        <w:rPr>
          <w:color w:val="000000"/>
          <w:szCs w:val="22"/>
        </w:rPr>
      </w:pPr>
    </w:p>
    <w:p w14:paraId="35D02A95" w14:textId="77777777" w:rsidR="00D17793" w:rsidRPr="00924EB7" w:rsidRDefault="00D17793" w:rsidP="001D6F63">
      <w:pPr>
        <w:rPr>
          <w:color w:val="000000"/>
          <w:szCs w:val="22"/>
        </w:rPr>
      </w:pPr>
      <w:r w:rsidRPr="00924EB7">
        <w:rPr>
          <w:color w:val="000000"/>
          <w:szCs w:val="22"/>
        </w:rPr>
        <w:t xml:space="preserve">Kuten ACE:n estäjien, myös </w:t>
      </w:r>
      <w:r w:rsidR="007C7A47">
        <w:rPr>
          <w:color w:val="000000"/>
          <w:szCs w:val="22"/>
        </w:rPr>
        <w:t xml:space="preserve">angiotensiini </w:t>
      </w:r>
      <w:r w:rsidRPr="00924EB7">
        <w:rPr>
          <w:color w:val="000000"/>
          <w:szCs w:val="22"/>
        </w:rPr>
        <w:t xml:space="preserve"> II</w:t>
      </w:r>
      <w:r w:rsidR="00015D5D" w:rsidRPr="00924EB7">
        <w:rPr>
          <w:color w:val="000000"/>
          <w:szCs w:val="22"/>
        </w:rPr>
        <w:t xml:space="preserve"> </w:t>
      </w:r>
      <w:r w:rsidRPr="00924EB7">
        <w:rPr>
          <w:color w:val="000000"/>
          <w:szCs w:val="22"/>
        </w:rPr>
        <w:t xml:space="preserve">-reseptorin salpaajien yhteiskäyttö tulehduskipulääkkeiden (NSAID) kanssa voi lisätä riskiä munuaistoiminnan heikentymiseen, mukaan lukien akuutti munuaisten vajaatoiminta, ja seerumin kaliumpitoisuuden kohoamiseen, etenkin niillä potilailla, joiden munuaistoiminta on ennestään heikentynyt. Yhdistelmää pitää käyttää varoen, etenkin vanhuksilla. Potilaiden nesteytyksestä pitää huolehtia ja munuaistoiminnan seuraamista pitää harkita yhdistelmähoidon aloituksen jälkeen ja säännöllisesti sen aikana. </w:t>
      </w:r>
    </w:p>
    <w:p w14:paraId="0DFE6781" w14:textId="77777777" w:rsidR="00D17793" w:rsidRDefault="00D17793" w:rsidP="001D6F63">
      <w:pPr>
        <w:rPr>
          <w:color w:val="000000"/>
          <w:szCs w:val="22"/>
        </w:rPr>
      </w:pPr>
      <w:r w:rsidRPr="00924EB7">
        <w:rPr>
          <w:color w:val="000000"/>
          <w:szCs w:val="22"/>
        </w:rPr>
        <w:t>Yht</w:t>
      </w:r>
      <w:r w:rsidR="00015D5D" w:rsidRPr="00924EB7">
        <w:rPr>
          <w:color w:val="000000"/>
          <w:szCs w:val="22"/>
        </w:rPr>
        <w:t>ä</w:t>
      </w:r>
      <w:r w:rsidRPr="00924EB7">
        <w:rPr>
          <w:color w:val="000000"/>
          <w:szCs w:val="22"/>
        </w:rPr>
        <w:t>aikainen losartaanin ja tulehduskipulääke indometasiinin käyttö johti angiotensiini II</w:t>
      </w:r>
      <w:r w:rsidR="00924EB7">
        <w:rPr>
          <w:color w:val="000000"/>
          <w:szCs w:val="22"/>
        </w:rPr>
        <w:t xml:space="preserve"> </w:t>
      </w:r>
      <w:r w:rsidR="00924EB7" w:rsidRPr="00924EB7">
        <w:rPr>
          <w:color w:val="000000"/>
          <w:szCs w:val="22"/>
        </w:rPr>
        <w:t>-</w:t>
      </w:r>
      <w:r w:rsidRPr="00924EB7">
        <w:rPr>
          <w:color w:val="000000"/>
          <w:szCs w:val="22"/>
        </w:rPr>
        <w:t>reseptorin salpaajan alentuneeseen tehoon. Luokkavaikutusta ei ole voitu poissulkea.</w:t>
      </w:r>
    </w:p>
    <w:p w14:paraId="73D57D60" w14:textId="77777777" w:rsidR="00D523C8" w:rsidRPr="00924EB7" w:rsidRDefault="00D523C8" w:rsidP="001D6F63">
      <w:pPr>
        <w:rPr>
          <w:szCs w:val="22"/>
        </w:rPr>
      </w:pPr>
    </w:p>
    <w:p w14:paraId="6037D0F2" w14:textId="77777777" w:rsidR="00842EBE" w:rsidRPr="00924EB7" w:rsidRDefault="00D523C8" w:rsidP="0027385B">
      <w:pPr>
        <w:pStyle w:val="Heading2"/>
      </w:pPr>
      <w:proofErr w:type="spellStart"/>
      <w:r>
        <w:t>Hedelmällisyys</w:t>
      </w:r>
      <w:proofErr w:type="spellEnd"/>
      <w:r>
        <w:t xml:space="preserve">, </w:t>
      </w:r>
      <w:proofErr w:type="spellStart"/>
      <w:r>
        <w:t>r</w:t>
      </w:r>
      <w:r w:rsidR="00842EBE" w:rsidRPr="00924EB7">
        <w:t>askaus</w:t>
      </w:r>
      <w:proofErr w:type="spellEnd"/>
      <w:r w:rsidR="00842EBE" w:rsidRPr="00924EB7">
        <w:t xml:space="preserve"> </w:t>
      </w:r>
      <w:proofErr w:type="spellStart"/>
      <w:r w:rsidR="00842EBE" w:rsidRPr="00924EB7">
        <w:t>ja</w:t>
      </w:r>
      <w:proofErr w:type="spellEnd"/>
      <w:r w:rsidR="00842EBE" w:rsidRPr="00924EB7">
        <w:t xml:space="preserve"> </w:t>
      </w:r>
      <w:proofErr w:type="spellStart"/>
      <w:r w:rsidR="00842EBE" w:rsidRPr="00924EB7">
        <w:t>imetys</w:t>
      </w:r>
      <w:proofErr w:type="spellEnd"/>
    </w:p>
    <w:p w14:paraId="5857C488" w14:textId="77777777" w:rsidR="00D523C8" w:rsidRDefault="00D523C8">
      <w:pPr>
        <w:suppressAutoHyphens/>
        <w:rPr>
          <w:color w:val="000000"/>
          <w:szCs w:val="22"/>
          <w:u w:val="single"/>
        </w:rPr>
      </w:pPr>
    </w:p>
    <w:p w14:paraId="3A1B6F79" w14:textId="77777777" w:rsidR="00842EBE" w:rsidRPr="00ED54E5" w:rsidRDefault="00842EBE" w:rsidP="00372A5A">
      <w:pPr>
        <w:suppressAutoHyphens/>
        <w:rPr>
          <w:i/>
          <w:iCs/>
          <w:color w:val="000000"/>
          <w:szCs w:val="22"/>
        </w:rPr>
      </w:pPr>
      <w:r w:rsidRPr="00ED54E5">
        <w:rPr>
          <w:i/>
          <w:iCs/>
          <w:color w:val="000000"/>
          <w:szCs w:val="22"/>
        </w:rPr>
        <w:t>Raskaus</w:t>
      </w:r>
    </w:p>
    <w:p w14:paraId="4990352C" w14:textId="77777777" w:rsidR="00842EBE" w:rsidRPr="00924EB7" w:rsidRDefault="00540FED" w:rsidP="00372A5A">
      <w:pPr>
        <w:suppressAutoHyphens/>
        <w:rPr>
          <w:b/>
          <w:color w:val="000000"/>
          <w:szCs w:val="22"/>
        </w:rPr>
      </w:pPr>
      <w:r w:rsidRPr="00924EB7">
        <w:rPr>
          <w:szCs w:val="22"/>
        </w:rPr>
        <w:t>Angiotensiini II -reseptorin salpaajien käyttöä ensimmäisen raskauskolmanneksen aikana ei suositella (ks. kohta 4.4). Angiotensiini II -reseptorin salpaajien käyttö toisen ja kolmannen raskauskolmanneksen aikana on vasta-aiheista (ks. kohdat 4.3 ja 4.4).</w:t>
      </w:r>
    </w:p>
    <w:p w14:paraId="3C54A603" w14:textId="77777777" w:rsidR="00842EBE" w:rsidRPr="00924EB7" w:rsidRDefault="00842EBE" w:rsidP="00372A5A">
      <w:pPr>
        <w:suppressAutoHyphens/>
        <w:rPr>
          <w:color w:val="000000"/>
          <w:szCs w:val="22"/>
        </w:rPr>
      </w:pPr>
    </w:p>
    <w:p w14:paraId="16719071" w14:textId="77777777" w:rsidR="00842EBE" w:rsidRPr="00924EB7" w:rsidRDefault="00842EBE" w:rsidP="00372A5A">
      <w:pPr>
        <w:rPr>
          <w:szCs w:val="22"/>
        </w:rPr>
      </w:pPr>
      <w:r w:rsidRPr="00924EB7">
        <w:rPr>
          <w:szCs w:val="22"/>
        </w:rPr>
        <w:t>Epidemiologisten tutkimusten tulokset viittaavat siihen, että altistuminen ACE:n estäjille ensimmäisen raskauskolmanneksen aikana lisää sikiön epämuodostumien riskiä. Tulokset eivät kuitenkaan ole vakuuttavia, mutta pientä riskin suurenemista ei voida sulkea pois. Angiotensiini II -reseptorin salpaajien käyttöön liittyvästä riskistä ei ole vertailevien epidemiologisten tutkimusten tuloksia, mutta näiden lääkkeiden käyttöön voi liittyä sama riski kuin ACE:n estäjiin. Jos angiotensiini II -reseptorin salpaajia käyttävä nainen aikoo tulla raskaaksi, hänelle on vaihdettava muu, raskauden aikanakin turvallinen verenpainelääkitys, ellei angiotensiini II -reseptorin salpaajien käyttöä pidetä välttämättömänä. Kun raskaus todetaan, angiotensiini II -reseptorin salpaajien käyttö on lopetettava heti, ja tarvittaessa on aloitettava muu lääkitys.</w:t>
      </w:r>
    </w:p>
    <w:p w14:paraId="1DBF003E" w14:textId="77777777" w:rsidR="00842EBE" w:rsidRPr="00924EB7" w:rsidRDefault="00842EBE" w:rsidP="00372A5A">
      <w:pPr>
        <w:rPr>
          <w:szCs w:val="22"/>
        </w:rPr>
      </w:pPr>
      <w:r w:rsidRPr="00924EB7">
        <w:rPr>
          <w:szCs w:val="22"/>
        </w:rPr>
        <w:t>Tiedetään, että altistus angiotensiini II -reseptorin salpaajille toisen ja kolmannen raskauskolmanneksen on haitallista sikiön kehitykselle (munuaisten toiminta heikkenee, lapsiveden määrä pienenee, kallon luutuminen hidastuu) ja vastasyntyneen kehitykselle (munuaisten toiminta voi pettää ja voi ilmetä hypotensiota ja hyperkalemiaa)</w:t>
      </w:r>
      <w:r w:rsidR="007C7A47">
        <w:rPr>
          <w:szCs w:val="22"/>
        </w:rPr>
        <w:t xml:space="preserve"> (ks. kohta 5.3)</w:t>
      </w:r>
      <w:r w:rsidRPr="00924EB7">
        <w:rPr>
          <w:szCs w:val="22"/>
        </w:rPr>
        <w:t xml:space="preserve">. </w:t>
      </w:r>
    </w:p>
    <w:p w14:paraId="4378FF0C" w14:textId="77777777" w:rsidR="00842EBE" w:rsidRPr="00924EB7" w:rsidRDefault="00842EBE" w:rsidP="00372A5A">
      <w:pPr>
        <w:rPr>
          <w:szCs w:val="22"/>
        </w:rPr>
      </w:pPr>
      <w:r w:rsidRPr="00924EB7">
        <w:rPr>
          <w:szCs w:val="22"/>
        </w:rPr>
        <w:t xml:space="preserve">Jos sikiö on raskauden toisen </w:t>
      </w:r>
      <w:r w:rsidR="00A67877">
        <w:rPr>
          <w:szCs w:val="22"/>
        </w:rPr>
        <w:t>tai</w:t>
      </w:r>
      <w:r w:rsidRPr="00924EB7">
        <w:rPr>
          <w:szCs w:val="22"/>
        </w:rPr>
        <w:t xml:space="preserve"> kolmannen kolmanneksen aikana altistunut angiotensiini II -reseptorin salpaajille, suositellaan sikiölle tehtäväksi munuaisten toiminnan ja kallon ultraäänitutkimus. Imeväisikäisiä, joiden äiti on käyttänyt angiotensiini II -reseptorin salpaajia, on seurattava huolellisesti hypotension varalta (ks. kohdat 4.3 ja 4.4).</w:t>
      </w:r>
    </w:p>
    <w:p w14:paraId="13DD55DD" w14:textId="77777777" w:rsidR="00842EBE" w:rsidRPr="00924EB7" w:rsidRDefault="00842EBE" w:rsidP="00372A5A">
      <w:pPr>
        <w:widowControl/>
        <w:tabs>
          <w:tab w:val="clear" w:pos="567"/>
        </w:tabs>
        <w:autoSpaceDE w:val="0"/>
        <w:autoSpaceDN w:val="0"/>
        <w:adjustRightInd w:val="0"/>
        <w:rPr>
          <w:rFonts w:ascii="TimesNewRoman" w:hAnsi="TimesNewRoman" w:cs="TimesNewRoman"/>
          <w:szCs w:val="22"/>
          <w:lang w:eastAsia="fi-FI"/>
        </w:rPr>
      </w:pPr>
    </w:p>
    <w:p w14:paraId="2D33C558" w14:textId="77777777" w:rsidR="00842EBE" w:rsidRPr="00ED54E5" w:rsidRDefault="00842EBE" w:rsidP="001D6F63">
      <w:pPr>
        <w:rPr>
          <w:b/>
          <w:i/>
          <w:iCs/>
          <w:color w:val="000000"/>
          <w:szCs w:val="22"/>
        </w:rPr>
      </w:pPr>
      <w:r w:rsidRPr="00ED54E5">
        <w:rPr>
          <w:i/>
          <w:iCs/>
          <w:color w:val="000000"/>
          <w:szCs w:val="22"/>
        </w:rPr>
        <w:t>Imetys</w:t>
      </w:r>
    </w:p>
    <w:p w14:paraId="36269471" w14:textId="77777777" w:rsidR="00842EBE" w:rsidRDefault="00842EBE" w:rsidP="001D6F63">
      <w:pPr>
        <w:rPr>
          <w:szCs w:val="22"/>
        </w:rPr>
      </w:pPr>
      <w:r w:rsidRPr="00924EB7">
        <w:rPr>
          <w:szCs w:val="22"/>
        </w:rPr>
        <w:t>Koska ei ole olemassa tietoa Teveten-valmisteen käytöstä imetyksen aikana, Teveten-valmisteen käyttöä ei suositella ja imetyksen aikana käytettäväksi on valittava hoito, jonka turvallisuus tunnetaan paremmin. Tämä koskee erityisesti vastasyntyneiden tai keskosena syntyneiden rintaruokintaa.</w:t>
      </w:r>
    </w:p>
    <w:p w14:paraId="011973DE" w14:textId="77777777" w:rsidR="002B4EA0" w:rsidRPr="00924EB7" w:rsidRDefault="002B4EA0" w:rsidP="001D6F63">
      <w:pPr>
        <w:rPr>
          <w:rFonts w:ascii="TimesNewRoman" w:hAnsi="TimesNewRoman" w:cs="TimesNewRoman"/>
          <w:szCs w:val="22"/>
          <w:lang w:eastAsia="fi-FI"/>
        </w:rPr>
      </w:pPr>
    </w:p>
    <w:p w14:paraId="487EC3B2" w14:textId="77777777" w:rsidR="00842EBE" w:rsidRPr="001D6F63" w:rsidRDefault="00842EBE" w:rsidP="0027385B">
      <w:pPr>
        <w:pStyle w:val="Heading2"/>
      </w:pPr>
      <w:proofErr w:type="spellStart"/>
      <w:r w:rsidRPr="001D6F63">
        <w:t>Vaikutus</w:t>
      </w:r>
      <w:proofErr w:type="spellEnd"/>
      <w:r w:rsidRPr="001D6F63">
        <w:t xml:space="preserve"> </w:t>
      </w:r>
      <w:proofErr w:type="spellStart"/>
      <w:r w:rsidRPr="001D6F63">
        <w:t>ajokykyyn</w:t>
      </w:r>
      <w:proofErr w:type="spellEnd"/>
      <w:r w:rsidRPr="001D6F63">
        <w:t xml:space="preserve"> </w:t>
      </w:r>
      <w:proofErr w:type="spellStart"/>
      <w:r w:rsidRPr="001D6F63">
        <w:t>ja</w:t>
      </w:r>
      <w:proofErr w:type="spellEnd"/>
      <w:r w:rsidRPr="001D6F63">
        <w:t xml:space="preserve"> </w:t>
      </w:r>
      <w:proofErr w:type="spellStart"/>
      <w:r w:rsidRPr="001D6F63">
        <w:t>koneidenkäyttökykyyn</w:t>
      </w:r>
      <w:proofErr w:type="spellEnd"/>
    </w:p>
    <w:p w14:paraId="42265869" w14:textId="77777777" w:rsidR="00D523C8" w:rsidRDefault="00D523C8">
      <w:pPr>
        <w:rPr>
          <w:color w:val="000000"/>
          <w:szCs w:val="22"/>
        </w:rPr>
      </w:pPr>
    </w:p>
    <w:p w14:paraId="541A83CB" w14:textId="77777777" w:rsidR="00842EBE" w:rsidRDefault="00842EBE" w:rsidP="00372A5A">
      <w:pPr>
        <w:rPr>
          <w:color w:val="000000"/>
          <w:szCs w:val="22"/>
        </w:rPr>
      </w:pPr>
      <w:r w:rsidRPr="00924EB7">
        <w:rPr>
          <w:color w:val="000000"/>
          <w:szCs w:val="22"/>
        </w:rPr>
        <w:t>Eprosartaanin vaikutusta ajokykyyn ja koneidenkäyttökykyyn ei ole tutkittu, mutta farmakodynaamisen vaikutustavan perusteella on epätodennäköistä, että eprosartaani vaikuttaisi näihin. Ajoneuvolla ajettaessa tai koneita käytettäessä tulee kuitenkin ottaa huomioon, että huimausta tai väsymystä saattaa ajoittain esiintyä verenpainetaudin lääkehoidon yhteydessä.</w:t>
      </w:r>
    </w:p>
    <w:p w14:paraId="183EDFCF" w14:textId="77777777" w:rsidR="005456B5" w:rsidRDefault="005456B5" w:rsidP="00372A5A">
      <w:pPr>
        <w:rPr>
          <w:color w:val="000000"/>
          <w:szCs w:val="22"/>
        </w:rPr>
      </w:pPr>
    </w:p>
    <w:p w14:paraId="3F1CD29A" w14:textId="77777777" w:rsidR="00D523C8" w:rsidRPr="00924EB7" w:rsidRDefault="00D523C8" w:rsidP="00372A5A">
      <w:pPr>
        <w:rPr>
          <w:szCs w:val="22"/>
        </w:rPr>
      </w:pPr>
    </w:p>
    <w:p w14:paraId="4FC845F2" w14:textId="77777777" w:rsidR="00842EBE" w:rsidRPr="00924EB7" w:rsidRDefault="00842EBE" w:rsidP="0027385B">
      <w:pPr>
        <w:pStyle w:val="Heading2"/>
      </w:pPr>
      <w:proofErr w:type="spellStart"/>
      <w:r w:rsidRPr="00924EB7">
        <w:lastRenderedPageBreak/>
        <w:t>Haittavaikutukset</w:t>
      </w:r>
      <w:proofErr w:type="spellEnd"/>
    </w:p>
    <w:p w14:paraId="51303340" w14:textId="77777777" w:rsidR="00D523C8" w:rsidRDefault="00D523C8" w:rsidP="00D17793">
      <w:pPr>
        <w:rPr>
          <w:szCs w:val="22"/>
        </w:rPr>
      </w:pPr>
    </w:p>
    <w:p w14:paraId="412AEC07" w14:textId="77777777" w:rsidR="00D17793" w:rsidRPr="00924EB7" w:rsidRDefault="00D17793" w:rsidP="00372A5A">
      <w:pPr>
        <w:rPr>
          <w:szCs w:val="22"/>
        </w:rPr>
      </w:pPr>
      <w:r w:rsidRPr="00924EB7">
        <w:rPr>
          <w:szCs w:val="22"/>
        </w:rPr>
        <w:t>Yleisimmät ilmoitetut haittavaikutukset eprosartaania käyttävillä potilailla ovat päänsärky ja vatsavaivat, näitä esiintyy noin 11 %</w:t>
      </w:r>
      <w:r w:rsidR="00015D5D" w:rsidRPr="00924EB7">
        <w:rPr>
          <w:szCs w:val="22"/>
        </w:rPr>
        <w:t>:lla</w:t>
      </w:r>
      <w:r w:rsidRPr="00924EB7">
        <w:rPr>
          <w:szCs w:val="22"/>
        </w:rPr>
        <w:t xml:space="preserve"> ja 8 %</w:t>
      </w:r>
      <w:r w:rsidR="00015D5D" w:rsidRPr="00924EB7">
        <w:rPr>
          <w:szCs w:val="22"/>
        </w:rPr>
        <w:t>:lla</w:t>
      </w:r>
      <w:r w:rsidRPr="00924EB7">
        <w:rPr>
          <w:szCs w:val="22"/>
        </w:rPr>
        <w:t xml:space="preserve"> potilaista.</w:t>
      </w:r>
      <w:r w:rsidR="008167DD">
        <w:rPr>
          <w:szCs w:val="22"/>
        </w:rPr>
        <w:t xml:space="preserve"> </w:t>
      </w:r>
    </w:p>
    <w:p w14:paraId="26AD90DA" w14:textId="77777777" w:rsidR="00D17793" w:rsidRPr="00924EB7" w:rsidRDefault="00D17793" w:rsidP="00372A5A">
      <w:pPr>
        <w:rPr>
          <w:szCs w:val="22"/>
        </w:rPr>
      </w:pPr>
    </w:p>
    <w:p w14:paraId="6B9AB989" w14:textId="77777777" w:rsidR="00D17793" w:rsidRPr="00924EB7" w:rsidRDefault="00D17793" w:rsidP="00372A5A">
      <w:pPr>
        <w:jc w:val="center"/>
        <w:rPr>
          <w:b/>
          <w:caps/>
          <w:szCs w:val="22"/>
        </w:rPr>
      </w:pPr>
      <w:r w:rsidRPr="00924EB7">
        <w:rPr>
          <w:b/>
          <w:caps/>
          <w:szCs w:val="22"/>
        </w:rPr>
        <w:t>Kliinisissä tutkimuksissa esiin tulleet haittavaikutukset eprosartaania käyttäneillä potilailla (n</w:t>
      </w:r>
      <w:r w:rsidR="00924EB7">
        <w:rPr>
          <w:b/>
          <w:caps/>
          <w:szCs w:val="22"/>
        </w:rPr>
        <w:t xml:space="preserve"> </w:t>
      </w:r>
      <w:r w:rsidRPr="00924EB7">
        <w:rPr>
          <w:b/>
          <w:caps/>
          <w:szCs w:val="22"/>
        </w:rPr>
        <w:t>=</w:t>
      </w:r>
      <w:r w:rsidR="00924EB7">
        <w:rPr>
          <w:b/>
          <w:caps/>
          <w:szCs w:val="22"/>
        </w:rPr>
        <w:t xml:space="preserve"> </w:t>
      </w:r>
      <w:r w:rsidRPr="00924EB7">
        <w:rPr>
          <w:b/>
          <w:caps/>
          <w:szCs w:val="22"/>
        </w:rPr>
        <w:t>2316)</w:t>
      </w:r>
    </w:p>
    <w:p w14:paraId="29CC9B68" w14:textId="77777777" w:rsidR="00D17793" w:rsidRPr="00924EB7" w:rsidRDefault="00D17793" w:rsidP="00372A5A">
      <w:pPr>
        <w:rPr>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2410"/>
        <w:gridCol w:w="2409"/>
      </w:tblGrid>
      <w:tr w:rsidR="00D17793" w:rsidRPr="00924EB7" w14:paraId="6794A668" w14:textId="77777777" w:rsidTr="00182966">
        <w:trPr>
          <w:tblHeader/>
        </w:trPr>
        <w:tc>
          <w:tcPr>
            <w:tcW w:w="2268" w:type="dxa"/>
          </w:tcPr>
          <w:p w14:paraId="2972A825" w14:textId="77777777" w:rsidR="00D17793" w:rsidRPr="00924EB7" w:rsidRDefault="00D17793" w:rsidP="00182966">
            <w:pPr>
              <w:keepNext/>
              <w:keepLines/>
              <w:tabs>
                <w:tab w:val="left" w:pos="0"/>
              </w:tabs>
              <w:rPr>
                <w:b/>
                <w:color w:val="000000"/>
                <w:szCs w:val="22"/>
              </w:rPr>
            </w:pPr>
            <w:r w:rsidRPr="00924EB7">
              <w:rPr>
                <w:b/>
                <w:color w:val="000000"/>
                <w:szCs w:val="22"/>
              </w:rPr>
              <w:t>MedDRA-luokituksen mukainen elinjärjestelmä</w:t>
            </w:r>
          </w:p>
        </w:tc>
        <w:tc>
          <w:tcPr>
            <w:tcW w:w="1985" w:type="dxa"/>
          </w:tcPr>
          <w:p w14:paraId="2EA9523C" w14:textId="77777777" w:rsidR="00D17793" w:rsidRPr="00924EB7" w:rsidRDefault="00D17793" w:rsidP="00182966">
            <w:pPr>
              <w:keepNext/>
              <w:keepLines/>
              <w:jc w:val="center"/>
              <w:rPr>
                <w:b/>
                <w:color w:val="000000"/>
                <w:szCs w:val="22"/>
              </w:rPr>
            </w:pPr>
            <w:r w:rsidRPr="00924EB7">
              <w:rPr>
                <w:b/>
                <w:color w:val="000000"/>
                <w:szCs w:val="22"/>
              </w:rPr>
              <w:t>Hyvin yleinen</w:t>
            </w:r>
          </w:p>
          <w:p w14:paraId="30C48384" w14:textId="77777777" w:rsidR="00D17793" w:rsidRPr="00924EB7" w:rsidRDefault="00D17793" w:rsidP="00182966">
            <w:pPr>
              <w:keepNext/>
              <w:keepLines/>
              <w:jc w:val="center"/>
              <w:rPr>
                <w:b/>
                <w:color w:val="000000"/>
                <w:szCs w:val="22"/>
              </w:rPr>
            </w:pPr>
            <w:r w:rsidRPr="00924EB7">
              <w:rPr>
                <w:b/>
                <w:color w:val="000000"/>
                <w:szCs w:val="22"/>
              </w:rPr>
              <w:t>≥</w:t>
            </w:r>
            <w:r w:rsidR="00924EB7">
              <w:rPr>
                <w:b/>
                <w:color w:val="000000"/>
                <w:szCs w:val="22"/>
              </w:rPr>
              <w:t xml:space="preserve"> </w:t>
            </w:r>
            <w:r w:rsidRPr="00924EB7">
              <w:rPr>
                <w:b/>
                <w:color w:val="000000"/>
                <w:szCs w:val="22"/>
              </w:rPr>
              <w:t>1/10</w:t>
            </w:r>
          </w:p>
        </w:tc>
        <w:tc>
          <w:tcPr>
            <w:tcW w:w="2410" w:type="dxa"/>
          </w:tcPr>
          <w:p w14:paraId="7DF62FDF" w14:textId="77777777" w:rsidR="00D17793" w:rsidRPr="00924EB7" w:rsidRDefault="00D17793" w:rsidP="00182966">
            <w:pPr>
              <w:keepNext/>
              <w:keepLines/>
              <w:jc w:val="center"/>
              <w:rPr>
                <w:b/>
                <w:color w:val="000000"/>
                <w:szCs w:val="22"/>
              </w:rPr>
            </w:pPr>
            <w:r w:rsidRPr="00924EB7">
              <w:rPr>
                <w:b/>
                <w:color w:val="000000"/>
                <w:szCs w:val="22"/>
              </w:rPr>
              <w:t>Yleinen</w:t>
            </w:r>
          </w:p>
          <w:p w14:paraId="689784CE" w14:textId="77777777" w:rsidR="00D17793" w:rsidRPr="00924EB7" w:rsidRDefault="00D17793" w:rsidP="00182966">
            <w:pPr>
              <w:keepNext/>
              <w:keepLines/>
              <w:jc w:val="center"/>
              <w:rPr>
                <w:b/>
                <w:color w:val="000000"/>
                <w:szCs w:val="22"/>
              </w:rPr>
            </w:pPr>
            <w:r w:rsidRPr="00924EB7">
              <w:rPr>
                <w:b/>
                <w:color w:val="000000"/>
                <w:szCs w:val="22"/>
              </w:rPr>
              <w:t>≥</w:t>
            </w:r>
            <w:r w:rsidR="00924EB7">
              <w:rPr>
                <w:b/>
                <w:color w:val="000000"/>
                <w:szCs w:val="22"/>
              </w:rPr>
              <w:t xml:space="preserve"> </w:t>
            </w:r>
            <w:r w:rsidRPr="00924EB7">
              <w:rPr>
                <w:b/>
                <w:color w:val="000000"/>
                <w:szCs w:val="22"/>
              </w:rPr>
              <w:t>1/100, &lt;</w:t>
            </w:r>
            <w:r w:rsidR="00924EB7">
              <w:rPr>
                <w:b/>
                <w:color w:val="000000"/>
                <w:szCs w:val="22"/>
              </w:rPr>
              <w:t xml:space="preserve"> </w:t>
            </w:r>
            <w:r w:rsidRPr="00924EB7">
              <w:rPr>
                <w:b/>
                <w:color w:val="000000"/>
                <w:szCs w:val="22"/>
              </w:rPr>
              <w:t>1/10</w:t>
            </w:r>
          </w:p>
        </w:tc>
        <w:tc>
          <w:tcPr>
            <w:tcW w:w="2409" w:type="dxa"/>
          </w:tcPr>
          <w:p w14:paraId="17CECA59" w14:textId="77777777" w:rsidR="00D17793" w:rsidRPr="00924EB7" w:rsidRDefault="00D17793" w:rsidP="00182966">
            <w:pPr>
              <w:keepNext/>
              <w:keepLines/>
              <w:tabs>
                <w:tab w:val="left" w:pos="-60"/>
              </w:tabs>
              <w:jc w:val="center"/>
              <w:rPr>
                <w:b/>
                <w:szCs w:val="22"/>
              </w:rPr>
            </w:pPr>
            <w:r w:rsidRPr="00924EB7">
              <w:rPr>
                <w:b/>
                <w:szCs w:val="22"/>
              </w:rPr>
              <w:t>Melko harvinainen</w:t>
            </w:r>
          </w:p>
          <w:p w14:paraId="7335874E" w14:textId="77777777" w:rsidR="00D17793" w:rsidRPr="00924EB7" w:rsidRDefault="00D17793" w:rsidP="00182966">
            <w:pPr>
              <w:keepNext/>
              <w:keepLines/>
              <w:tabs>
                <w:tab w:val="left" w:pos="-60"/>
              </w:tabs>
              <w:jc w:val="center"/>
              <w:rPr>
                <w:b/>
                <w:szCs w:val="22"/>
              </w:rPr>
            </w:pPr>
            <w:r w:rsidRPr="00924EB7">
              <w:rPr>
                <w:b/>
                <w:szCs w:val="22"/>
              </w:rPr>
              <w:t>≥</w:t>
            </w:r>
            <w:r w:rsidR="00924EB7">
              <w:rPr>
                <w:b/>
                <w:szCs w:val="22"/>
              </w:rPr>
              <w:t xml:space="preserve"> </w:t>
            </w:r>
            <w:r w:rsidRPr="00924EB7">
              <w:rPr>
                <w:b/>
                <w:szCs w:val="22"/>
              </w:rPr>
              <w:t>1/1000, &lt;</w:t>
            </w:r>
            <w:r w:rsidR="00924EB7">
              <w:rPr>
                <w:b/>
                <w:szCs w:val="22"/>
              </w:rPr>
              <w:t xml:space="preserve"> </w:t>
            </w:r>
            <w:r w:rsidRPr="00924EB7">
              <w:rPr>
                <w:b/>
                <w:szCs w:val="22"/>
              </w:rPr>
              <w:t>1/100</w:t>
            </w:r>
          </w:p>
        </w:tc>
      </w:tr>
      <w:tr w:rsidR="00D17793" w:rsidRPr="00924EB7" w14:paraId="438E0F84" w14:textId="77777777" w:rsidTr="00182966">
        <w:tc>
          <w:tcPr>
            <w:tcW w:w="2268" w:type="dxa"/>
          </w:tcPr>
          <w:p w14:paraId="4CC0D359" w14:textId="77777777" w:rsidR="00D17793" w:rsidRPr="00924EB7" w:rsidRDefault="00D17793" w:rsidP="00182966">
            <w:pPr>
              <w:tabs>
                <w:tab w:val="left" w:pos="0"/>
                <w:tab w:val="left" w:pos="426"/>
              </w:tabs>
              <w:rPr>
                <w:b/>
                <w:color w:val="000000"/>
                <w:szCs w:val="22"/>
              </w:rPr>
            </w:pPr>
            <w:r w:rsidRPr="00924EB7">
              <w:rPr>
                <w:b/>
                <w:color w:val="000000"/>
                <w:szCs w:val="22"/>
              </w:rPr>
              <w:t>Immuunijärjestelmä</w:t>
            </w:r>
          </w:p>
        </w:tc>
        <w:tc>
          <w:tcPr>
            <w:tcW w:w="1985" w:type="dxa"/>
          </w:tcPr>
          <w:p w14:paraId="1C78E8EE" w14:textId="77777777" w:rsidR="00D17793" w:rsidRPr="00924EB7" w:rsidRDefault="00D17793" w:rsidP="00182966">
            <w:pPr>
              <w:tabs>
                <w:tab w:val="left" w:pos="-13"/>
              </w:tabs>
              <w:ind w:hanging="13"/>
              <w:rPr>
                <w:color w:val="000000"/>
                <w:szCs w:val="22"/>
              </w:rPr>
            </w:pPr>
          </w:p>
        </w:tc>
        <w:tc>
          <w:tcPr>
            <w:tcW w:w="2410" w:type="dxa"/>
          </w:tcPr>
          <w:p w14:paraId="658CC601" w14:textId="77777777" w:rsidR="00D17793" w:rsidRPr="00924EB7" w:rsidRDefault="00D17793" w:rsidP="00182966">
            <w:pPr>
              <w:tabs>
                <w:tab w:val="left" w:pos="-13"/>
              </w:tabs>
              <w:ind w:hanging="13"/>
              <w:rPr>
                <w:color w:val="000000"/>
                <w:szCs w:val="22"/>
              </w:rPr>
            </w:pPr>
          </w:p>
        </w:tc>
        <w:tc>
          <w:tcPr>
            <w:tcW w:w="2409" w:type="dxa"/>
          </w:tcPr>
          <w:p w14:paraId="64950282" w14:textId="77777777" w:rsidR="00D17793" w:rsidRPr="00924EB7" w:rsidRDefault="00D17793" w:rsidP="00182966">
            <w:pPr>
              <w:tabs>
                <w:tab w:val="left" w:pos="-60"/>
              </w:tabs>
              <w:rPr>
                <w:szCs w:val="22"/>
              </w:rPr>
            </w:pPr>
            <w:r w:rsidRPr="00924EB7">
              <w:rPr>
                <w:szCs w:val="22"/>
              </w:rPr>
              <w:t>Yliherkkyys*</w:t>
            </w:r>
          </w:p>
        </w:tc>
      </w:tr>
      <w:tr w:rsidR="00D17793" w:rsidRPr="00924EB7" w14:paraId="7BE3F541" w14:textId="77777777" w:rsidTr="00182966">
        <w:tc>
          <w:tcPr>
            <w:tcW w:w="2268" w:type="dxa"/>
          </w:tcPr>
          <w:p w14:paraId="3BF61012" w14:textId="77777777" w:rsidR="00D17793" w:rsidRPr="00924EB7" w:rsidRDefault="00D17793" w:rsidP="00182966">
            <w:pPr>
              <w:tabs>
                <w:tab w:val="left" w:pos="0"/>
                <w:tab w:val="left" w:pos="426"/>
              </w:tabs>
              <w:rPr>
                <w:b/>
                <w:color w:val="000000"/>
                <w:szCs w:val="22"/>
              </w:rPr>
            </w:pPr>
            <w:r w:rsidRPr="00924EB7">
              <w:rPr>
                <w:b/>
                <w:color w:val="000000"/>
                <w:szCs w:val="22"/>
              </w:rPr>
              <w:t>Hermosto</w:t>
            </w:r>
          </w:p>
        </w:tc>
        <w:tc>
          <w:tcPr>
            <w:tcW w:w="1985" w:type="dxa"/>
          </w:tcPr>
          <w:p w14:paraId="69D36990" w14:textId="77777777" w:rsidR="00D17793" w:rsidRPr="00924EB7" w:rsidRDefault="00D17793" w:rsidP="00182966">
            <w:pPr>
              <w:tabs>
                <w:tab w:val="left" w:pos="-13"/>
              </w:tabs>
              <w:ind w:hanging="13"/>
              <w:rPr>
                <w:color w:val="000000"/>
                <w:szCs w:val="22"/>
              </w:rPr>
            </w:pPr>
            <w:r w:rsidRPr="00924EB7">
              <w:rPr>
                <w:color w:val="000000"/>
                <w:szCs w:val="22"/>
              </w:rPr>
              <w:t>Päänsärky*</w:t>
            </w:r>
          </w:p>
        </w:tc>
        <w:tc>
          <w:tcPr>
            <w:tcW w:w="2410" w:type="dxa"/>
          </w:tcPr>
          <w:p w14:paraId="6E85B025" w14:textId="77777777" w:rsidR="00D17793" w:rsidRPr="00924EB7" w:rsidRDefault="00D17793" w:rsidP="00182966">
            <w:pPr>
              <w:tabs>
                <w:tab w:val="left" w:pos="-13"/>
              </w:tabs>
              <w:ind w:hanging="13"/>
              <w:rPr>
                <w:color w:val="000000"/>
                <w:szCs w:val="22"/>
              </w:rPr>
            </w:pPr>
            <w:r w:rsidRPr="00924EB7">
              <w:rPr>
                <w:color w:val="000000"/>
                <w:szCs w:val="22"/>
              </w:rPr>
              <w:t>Heitehuimaus*</w:t>
            </w:r>
          </w:p>
        </w:tc>
        <w:tc>
          <w:tcPr>
            <w:tcW w:w="2409" w:type="dxa"/>
          </w:tcPr>
          <w:p w14:paraId="19C37ECB" w14:textId="77777777" w:rsidR="00D17793" w:rsidRPr="00924EB7" w:rsidRDefault="00D17793" w:rsidP="00182966">
            <w:pPr>
              <w:tabs>
                <w:tab w:val="left" w:pos="-60"/>
              </w:tabs>
              <w:rPr>
                <w:szCs w:val="22"/>
              </w:rPr>
            </w:pPr>
          </w:p>
        </w:tc>
      </w:tr>
      <w:tr w:rsidR="00D17793" w:rsidRPr="00924EB7" w14:paraId="252D5EA5" w14:textId="77777777" w:rsidTr="00182966">
        <w:tc>
          <w:tcPr>
            <w:tcW w:w="2268" w:type="dxa"/>
          </w:tcPr>
          <w:p w14:paraId="7344B1B3" w14:textId="77777777" w:rsidR="00D17793" w:rsidRPr="00924EB7" w:rsidRDefault="00D17793" w:rsidP="00182966">
            <w:pPr>
              <w:tabs>
                <w:tab w:val="left" w:pos="0"/>
                <w:tab w:val="left" w:pos="426"/>
              </w:tabs>
              <w:rPr>
                <w:b/>
                <w:color w:val="000000"/>
                <w:szCs w:val="22"/>
              </w:rPr>
            </w:pPr>
            <w:r w:rsidRPr="00924EB7">
              <w:rPr>
                <w:b/>
                <w:color w:val="000000"/>
                <w:szCs w:val="22"/>
              </w:rPr>
              <w:t>Verisuonisto</w:t>
            </w:r>
          </w:p>
        </w:tc>
        <w:tc>
          <w:tcPr>
            <w:tcW w:w="1985" w:type="dxa"/>
          </w:tcPr>
          <w:p w14:paraId="2D62203B" w14:textId="77777777" w:rsidR="00D17793" w:rsidRPr="00924EB7" w:rsidRDefault="00D17793" w:rsidP="00182966">
            <w:pPr>
              <w:tabs>
                <w:tab w:val="left" w:pos="-13"/>
              </w:tabs>
              <w:ind w:hanging="13"/>
              <w:rPr>
                <w:color w:val="FF0000"/>
                <w:szCs w:val="22"/>
              </w:rPr>
            </w:pPr>
          </w:p>
        </w:tc>
        <w:tc>
          <w:tcPr>
            <w:tcW w:w="2410" w:type="dxa"/>
          </w:tcPr>
          <w:p w14:paraId="287B492F" w14:textId="77777777" w:rsidR="00D17793" w:rsidRPr="00924EB7" w:rsidRDefault="00D17793" w:rsidP="00182966">
            <w:pPr>
              <w:tabs>
                <w:tab w:val="left" w:pos="-13"/>
              </w:tabs>
              <w:ind w:hanging="13"/>
              <w:rPr>
                <w:color w:val="FF0000"/>
                <w:szCs w:val="22"/>
              </w:rPr>
            </w:pPr>
          </w:p>
        </w:tc>
        <w:tc>
          <w:tcPr>
            <w:tcW w:w="2409" w:type="dxa"/>
          </w:tcPr>
          <w:p w14:paraId="1CB34A12" w14:textId="77777777" w:rsidR="00D17793" w:rsidRPr="00924EB7" w:rsidRDefault="00D17793" w:rsidP="00182966">
            <w:pPr>
              <w:tabs>
                <w:tab w:val="left" w:pos="-60"/>
              </w:tabs>
              <w:rPr>
                <w:szCs w:val="22"/>
              </w:rPr>
            </w:pPr>
            <w:r w:rsidRPr="00924EB7">
              <w:rPr>
                <w:szCs w:val="22"/>
              </w:rPr>
              <w:t>Matala verenpaine</w:t>
            </w:r>
          </w:p>
        </w:tc>
      </w:tr>
      <w:tr w:rsidR="00D17793" w:rsidRPr="00924EB7" w14:paraId="68857E73" w14:textId="77777777" w:rsidTr="00182966">
        <w:tc>
          <w:tcPr>
            <w:tcW w:w="2268" w:type="dxa"/>
          </w:tcPr>
          <w:p w14:paraId="5894AC11" w14:textId="77777777" w:rsidR="00D17793" w:rsidRPr="00924EB7" w:rsidRDefault="00D17793" w:rsidP="00182966">
            <w:pPr>
              <w:tabs>
                <w:tab w:val="left" w:pos="0"/>
                <w:tab w:val="left" w:pos="426"/>
              </w:tabs>
              <w:rPr>
                <w:b/>
                <w:color w:val="000000"/>
                <w:szCs w:val="22"/>
                <w:lang w:val="en-US"/>
              </w:rPr>
            </w:pPr>
            <w:r w:rsidRPr="00924EB7">
              <w:rPr>
                <w:b/>
                <w:noProof/>
                <w:szCs w:val="22"/>
              </w:rPr>
              <w:t>Hengityselimet,</w:t>
            </w:r>
            <w:r w:rsidR="008167DD">
              <w:rPr>
                <w:b/>
                <w:noProof/>
                <w:szCs w:val="22"/>
              </w:rPr>
              <w:t xml:space="preserve"> </w:t>
            </w:r>
            <w:r w:rsidRPr="00924EB7">
              <w:rPr>
                <w:b/>
                <w:noProof/>
                <w:szCs w:val="22"/>
              </w:rPr>
              <w:t>rintakehä ja välikarsina</w:t>
            </w:r>
          </w:p>
        </w:tc>
        <w:tc>
          <w:tcPr>
            <w:tcW w:w="1985" w:type="dxa"/>
          </w:tcPr>
          <w:p w14:paraId="5A99F6FE" w14:textId="77777777" w:rsidR="00D17793" w:rsidRPr="00924EB7" w:rsidRDefault="00D17793" w:rsidP="00182966">
            <w:pPr>
              <w:tabs>
                <w:tab w:val="left" w:pos="-13"/>
              </w:tabs>
              <w:ind w:hanging="13"/>
              <w:rPr>
                <w:color w:val="FF0000"/>
                <w:szCs w:val="22"/>
                <w:lang w:val="en-US"/>
              </w:rPr>
            </w:pPr>
          </w:p>
        </w:tc>
        <w:tc>
          <w:tcPr>
            <w:tcW w:w="2410" w:type="dxa"/>
          </w:tcPr>
          <w:p w14:paraId="5FA560EA" w14:textId="77777777" w:rsidR="00D17793" w:rsidRPr="00924EB7" w:rsidRDefault="00D17793" w:rsidP="00182966">
            <w:pPr>
              <w:tabs>
                <w:tab w:val="left" w:pos="-13"/>
              </w:tabs>
              <w:ind w:hanging="13"/>
              <w:rPr>
                <w:color w:val="FF0000"/>
                <w:szCs w:val="22"/>
              </w:rPr>
            </w:pPr>
            <w:proofErr w:type="spellStart"/>
            <w:r w:rsidRPr="00924EB7">
              <w:rPr>
                <w:szCs w:val="22"/>
                <w:lang w:val="en-GB"/>
              </w:rPr>
              <w:t>Riniitti</w:t>
            </w:r>
            <w:proofErr w:type="spellEnd"/>
          </w:p>
        </w:tc>
        <w:tc>
          <w:tcPr>
            <w:tcW w:w="2409" w:type="dxa"/>
          </w:tcPr>
          <w:p w14:paraId="6683C766" w14:textId="77777777" w:rsidR="00D17793" w:rsidRPr="00924EB7" w:rsidRDefault="00D17793" w:rsidP="00182966">
            <w:pPr>
              <w:tabs>
                <w:tab w:val="left" w:pos="-60"/>
              </w:tabs>
              <w:rPr>
                <w:szCs w:val="22"/>
              </w:rPr>
            </w:pPr>
          </w:p>
        </w:tc>
      </w:tr>
      <w:tr w:rsidR="00D17793" w:rsidRPr="00924EB7" w14:paraId="7484A054" w14:textId="77777777" w:rsidTr="00182966">
        <w:tc>
          <w:tcPr>
            <w:tcW w:w="2268" w:type="dxa"/>
          </w:tcPr>
          <w:p w14:paraId="6450FF48" w14:textId="77777777" w:rsidR="00D17793" w:rsidRPr="00924EB7" w:rsidRDefault="00D17793" w:rsidP="00182966">
            <w:pPr>
              <w:tabs>
                <w:tab w:val="left" w:pos="0"/>
                <w:tab w:val="left" w:pos="426"/>
              </w:tabs>
              <w:rPr>
                <w:b/>
                <w:color w:val="000000"/>
                <w:szCs w:val="22"/>
                <w:lang w:val="en-US"/>
              </w:rPr>
            </w:pPr>
            <w:r w:rsidRPr="00924EB7">
              <w:rPr>
                <w:b/>
                <w:noProof/>
                <w:szCs w:val="22"/>
              </w:rPr>
              <w:t>Iho ja ihonalainen kudos</w:t>
            </w:r>
          </w:p>
        </w:tc>
        <w:tc>
          <w:tcPr>
            <w:tcW w:w="1985" w:type="dxa"/>
          </w:tcPr>
          <w:p w14:paraId="125E5084" w14:textId="77777777" w:rsidR="00D17793" w:rsidRPr="00924EB7" w:rsidRDefault="00D17793" w:rsidP="00182966">
            <w:pPr>
              <w:tabs>
                <w:tab w:val="left" w:pos="-13"/>
              </w:tabs>
              <w:ind w:hanging="13"/>
              <w:rPr>
                <w:color w:val="000000"/>
                <w:szCs w:val="22"/>
                <w:lang w:val="en-US"/>
              </w:rPr>
            </w:pPr>
          </w:p>
        </w:tc>
        <w:tc>
          <w:tcPr>
            <w:tcW w:w="2410" w:type="dxa"/>
          </w:tcPr>
          <w:p w14:paraId="474385E2" w14:textId="77777777" w:rsidR="00D17793" w:rsidRPr="00924EB7" w:rsidRDefault="00D17793" w:rsidP="00182966">
            <w:pPr>
              <w:tabs>
                <w:tab w:val="left" w:pos="-13"/>
              </w:tabs>
              <w:ind w:hanging="13"/>
              <w:rPr>
                <w:color w:val="000000"/>
                <w:szCs w:val="22"/>
              </w:rPr>
            </w:pPr>
            <w:r w:rsidRPr="00924EB7">
              <w:rPr>
                <w:color w:val="000000"/>
                <w:szCs w:val="22"/>
              </w:rPr>
              <w:t>Allergiset ihoreaktiot (esim. ihottuma, kutina)</w:t>
            </w:r>
          </w:p>
        </w:tc>
        <w:tc>
          <w:tcPr>
            <w:tcW w:w="2409" w:type="dxa"/>
          </w:tcPr>
          <w:p w14:paraId="04741635" w14:textId="77777777" w:rsidR="00D17793" w:rsidRPr="00924EB7" w:rsidRDefault="00D17793" w:rsidP="00182966">
            <w:pPr>
              <w:tabs>
                <w:tab w:val="left" w:pos="-60"/>
              </w:tabs>
              <w:rPr>
                <w:szCs w:val="22"/>
                <w:lang w:val="en-US"/>
              </w:rPr>
            </w:pPr>
            <w:proofErr w:type="spellStart"/>
            <w:r w:rsidRPr="00924EB7">
              <w:rPr>
                <w:szCs w:val="22"/>
                <w:lang w:val="en-US"/>
              </w:rPr>
              <w:t>Angioedeema</w:t>
            </w:r>
            <w:proofErr w:type="spellEnd"/>
            <w:r w:rsidRPr="00924EB7">
              <w:rPr>
                <w:szCs w:val="22"/>
                <w:lang w:val="en-US"/>
              </w:rPr>
              <w:t>*</w:t>
            </w:r>
          </w:p>
        </w:tc>
      </w:tr>
      <w:tr w:rsidR="00D17793" w:rsidRPr="00924EB7" w14:paraId="33923387" w14:textId="77777777" w:rsidTr="00182966">
        <w:tc>
          <w:tcPr>
            <w:tcW w:w="2268" w:type="dxa"/>
          </w:tcPr>
          <w:p w14:paraId="1F07B5BF" w14:textId="77777777" w:rsidR="00D17793" w:rsidRPr="00924EB7" w:rsidRDefault="00D17793" w:rsidP="00182966">
            <w:pPr>
              <w:tabs>
                <w:tab w:val="left" w:pos="0"/>
                <w:tab w:val="left" w:pos="426"/>
              </w:tabs>
              <w:rPr>
                <w:b/>
                <w:color w:val="000000"/>
                <w:szCs w:val="22"/>
                <w:lang w:val="en-US"/>
              </w:rPr>
            </w:pPr>
            <w:r w:rsidRPr="00924EB7">
              <w:rPr>
                <w:b/>
                <w:noProof/>
                <w:szCs w:val="22"/>
                <w:lang w:val="pt-PT"/>
              </w:rPr>
              <w:t>Ruoansulatuselimistö</w:t>
            </w:r>
          </w:p>
        </w:tc>
        <w:tc>
          <w:tcPr>
            <w:tcW w:w="1985" w:type="dxa"/>
          </w:tcPr>
          <w:p w14:paraId="05D4245A" w14:textId="77777777" w:rsidR="00D17793" w:rsidRPr="00924EB7" w:rsidRDefault="00D17793" w:rsidP="00182966">
            <w:pPr>
              <w:tabs>
                <w:tab w:val="left" w:pos="-13"/>
              </w:tabs>
              <w:ind w:hanging="13"/>
              <w:rPr>
                <w:color w:val="000000"/>
                <w:szCs w:val="22"/>
                <w:lang w:val="en-US"/>
              </w:rPr>
            </w:pPr>
          </w:p>
        </w:tc>
        <w:tc>
          <w:tcPr>
            <w:tcW w:w="2410" w:type="dxa"/>
          </w:tcPr>
          <w:p w14:paraId="36833A82" w14:textId="77777777" w:rsidR="00D17793" w:rsidRPr="00924EB7" w:rsidRDefault="00D17793" w:rsidP="00182966">
            <w:pPr>
              <w:tabs>
                <w:tab w:val="left" w:pos="-13"/>
              </w:tabs>
              <w:ind w:hanging="13"/>
              <w:rPr>
                <w:color w:val="000000"/>
                <w:szCs w:val="22"/>
              </w:rPr>
            </w:pPr>
            <w:r w:rsidRPr="00924EB7">
              <w:rPr>
                <w:color w:val="000000"/>
                <w:szCs w:val="22"/>
              </w:rPr>
              <w:t>Ruoansulatuskanavan vaivat (esim. pahoinvointi, ripuli, oksentelu)</w:t>
            </w:r>
          </w:p>
        </w:tc>
        <w:tc>
          <w:tcPr>
            <w:tcW w:w="2409" w:type="dxa"/>
          </w:tcPr>
          <w:p w14:paraId="63684E56" w14:textId="77777777" w:rsidR="00D17793" w:rsidRPr="00924EB7" w:rsidRDefault="00D17793" w:rsidP="00182966">
            <w:pPr>
              <w:tabs>
                <w:tab w:val="left" w:pos="-60"/>
              </w:tabs>
              <w:rPr>
                <w:szCs w:val="22"/>
              </w:rPr>
            </w:pPr>
          </w:p>
        </w:tc>
      </w:tr>
      <w:tr w:rsidR="00D17793" w:rsidRPr="00924EB7" w14:paraId="23D835F0" w14:textId="77777777" w:rsidTr="00182966">
        <w:tc>
          <w:tcPr>
            <w:tcW w:w="2268" w:type="dxa"/>
          </w:tcPr>
          <w:p w14:paraId="0ACF864E" w14:textId="77777777" w:rsidR="00D17793" w:rsidRPr="00924EB7" w:rsidRDefault="00D17793" w:rsidP="00182966">
            <w:pPr>
              <w:keepNext/>
              <w:keepLines/>
              <w:tabs>
                <w:tab w:val="left" w:pos="0"/>
                <w:tab w:val="left" w:pos="426"/>
              </w:tabs>
              <w:rPr>
                <w:b/>
                <w:color w:val="000000"/>
                <w:szCs w:val="22"/>
              </w:rPr>
            </w:pPr>
            <w:r w:rsidRPr="00924EB7">
              <w:rPr>
                <w:b/>
                <w:noProof/>
                <w:szCs w:val="22"/>
              </w:rPr>
              <w:t>Yleisoireet ja antopaikassa todettavat haitat</w:t>
            </w:r>
          </w:p>
        </w:tc>
        <w:tc>
          <w:tcPr>
            <w:tcW w:w="1985" w:type="dxa"/>
          </w:tcPr>
          <w:p w14:paraId="56602405" w14:textId="77777777" w:rsidR="00D17793" w:rsidRPr="00924EB7" w:rsidRDefault="00D17793" w:rsidP="00182966">
            <w:pPr>
              <w:tabs>
                <w:tab w:val="left" w:pos="-13"/>
              </w:tabs>
              <w:ind w:hanging="13"/>
              <w:rPr>
                <w:color w:val="000000"/>
                <w:szCs w:val="22"/>
              </w:rPr>
            </w:pPr>
          </w:p>
        </w:tc>
        <w:tc>
          <w:tcPr>
            <w:tcW w:w="2410" w:type="dxa"/>
          </w:tcPr>
          <w:p w14:paraId="4152AACF" w14:textId="77777777" w:rsidR="00D17793" w:rsidRPr="00924EB7" w:rsidRDefault="00D17793" w:rsidP="00182966">
            <w:pPr>
              <w:tabs>
                <w:tab w:val="left" w:pos="-13"/>
              </w:tabs>
              <w:ind w:hanging="13"/>
              <w:rPr>
                <w:color w:val="000000"/>
                <w:szCs w:val="22"/>
              </w:rPr>
            </w:pPr>
            <w:r w:rsidRPr="00924EB7">
              <w:rPr>
                <w:color w:val="000000"/>
                <w:szCs w:val="22"/>
              </w:rPr>
              <w:t>Astenia</w:t>
            </w:r>
          </w:p>
        </w:tc>
        <w:tc>
          <w:tcPr>
            <w:tcW w:w="2409" w:type="dxa"/>
          </w:tcPr>
          <w:p w14:paraId="1B6F9C9F" w14:textId="77777777" w:rsidR="00D17793" w:rsidRPr="00924EB7" w:rsidRDefault="00D17793" w:rsidP="00182966">
            <w:pPr>
              <w:tabs>
                <w:tab w:val="left" w:pos="-60"/>
              </w:tabs>
              <w:rPr>
                <w:color w:val="FF0000"/>
                <w:szCs w:val="22"/>
              </w:rPr>
            </w:pPr>
          </w:p>
        </w:tc>
      </w:tr>
    </w:tbl>
    <w:p w14:paraId="3899F82D" w14:textId="77777777" w:rsidR="00D17793" w:rsidRPr="00924EB7" w:rsidRDefault="00D17793" w:rsidP="00372A5A">
      <w:pPr>
        <w:rPr>
          <w:szCs w:val="22"/>
        </w:rPr>
      </w:pPr>
      <w:r w:rsidRPr="00924EB7">
        <w:rPr>
          <w:szCs w:val="22"/>
        </w:rPr>
        <w:t>* Esiintymistiheys ei ollut suurempi kuin lumelääkettä käytettäessä</w:t>
      </w:r>
    </w:p>
    <w:p w14:paraId="05D2B4D6" w14:textId="77777777" w:rsidR="00D17793" w:rsidRPr="00924EB7" w:rsidRDefault="00D17793" w:rsidP="00372A5A">
      <w:pPr>
        <w:rPr>
          <w:szCs w:val="22"/>
        </w:rPr>
      </w:pPr>
    </w:p>
    <w:p w14:paraId="7F702B16" w14:textId="77777777" w:rsidR="00D17793" w:rsidRPr="00924EB7" w:rsidRDefault="00D17793" w:rsidP="00372A5A">
      <w:pPr>
        <w:suppressAutoHyphens/>
        <w:rPr>
          <w:color w:val="000000"/>
          <w:szCs w:val="22"/>
        </w:rPr>
      </w:pPr>
      <w:r w:rsidRPr="00924EB7">
        <w:rPr>
          <w:color w:val="000000"/>
          <w:szCs w:val="22"/>
        </w:rPr>
        <w:t xml:space="preserve">Kliinisissä tutkimuksissa todettujen haittavaikutusten lisäksi eprosartaanin markkinoille tulon jälkeen on raportoitu seuraavista vaikutuksista. </w:t>
      </w:r>
      <w:r w:rsidR="00015D5D" w:rsidRPr="00924EB7">
        <w:rPr>
          <w:color w:val="000000"/>
          <w:szCs w:val="22"/>
        </w:rPr>
        <w:t>Saatavissa</w:t>
      </w:r>
      <w:r w:rsidRPr="00924EB7">
        <w:rPr>
          <w:color w:val="000000"/>
          <w:szCs w:val="22"/>
        </w:rPr>
        <w:t xml:space="preserve"> oleva</w:t>
      </w:r>
      <w:r w:rsidR="00924EB7">
        <w:rPr>
          <w:color w:val="000000"/>
          <w:szCs w:val="22"/>
        </w:rPr>
        <w:t xml:space="preserve"> </w:t>
      </w:r>
      <w:r w:rsidR="00015D5D" w:rsidRPr="00924EB7">
        <w:rPr>
          <w:color w:val="000000"/>
          <w:szCs w:val="22"/>
        </w:rPr>
        <w:t>tieto</w:t>
      </w:r>
      <w:r w:rsidRPr="00924EB7">
        <w:rPr>
          <w:color w:val="000000"/>
          <w:szCs w:val="22"/>
        </w:rPr>
        <w:t xml:space="preserve"> ei </w:t>
      </w:r>
      <w:r w:rsidR="00015D5D" w:rsidRPr="00924EB7">
        <w:rPr>
          <w:color w:val="000000"/>
          <w:szCs w:val="22"/>
        </w:rPr>
        <w:t>riitä</w:t>
      </w:r>
      <w:r w:rsidRPr="00924EB7">
        <w:rPr>
          <w:color w:val="000000"/>
          <w:szCs w:val="22"/>
        </w:rPr>
        <w:t xml:space="preserve"> esiintymistihey</w:t>
      </w:r>
      <w:r w:rsidR="00015D5D" w:rsidRPr="00924EB7">
        <w:rPr>
          <w:color w:val="000000"/>
          <w:szCs w:val="22"/>
        </w:rPr>
        <w:t>den arviointiin</w:t>
      </w:r>
      <w:r w:rsidRPr="00924EB7">
        <w:rPr>
          <w:color w:val="000000"/>
          <w:szCs w:val="22"/>
        </w:rPr>
        <w:t xml:space="preserve"> (</w:t>
      </w:r>
      <w:r w:rsidR="00015D5D" w:rsidRPr="00924EB7">
        <w:rPr>
          <w:color w:val="000000"/>
          <w:szCs w:val="22"/>
        </w:rPr>
        <w:t>tuntematon</w:t>
      </w:r>
      <w:r w:rsidRPr="00924EB7">
        <w:rPr>
          <w:color w:val="000000"/>
          <w:szCs w:val="22"/>
        </w:rPr>
        <w:t xml:space="preserve">). </w:t>
      </w:r>
    </w:p>
    <w:p w14:paraId="0D31F7C9" w14:textId="77777777" w:rsidR="00D17793" w:rsidRPr="00924EB7" w:rsidRDefault="00D17793" w:rsidP="00372A5A">
      <w:pPr>
        <w:rPr>
          <w:szCs w:val="22"/>
        </w:rPr>
      </w:pPr>
    </w:p>
    <w:p w14:paraId="50FB992F" w14:textId="77777777" w:rsidR="00D17793" w:rsidRPr="00ED54E5" w:rsidRDefault="00D17793" w:rsidP="001D6F63">
      <w:pPr>
        <w:rPr>
          <w:bCs/>
          <w:i/>
          <w:iCs/>
          <w:szCs w:val="22"/>
        </w:rPr>
      </w:pPr>
      <w:r w:rsidRPr="00ED54E5">
        <w:rPr>
          <w:bCs/>
          <w:i/>
          <w:iCs/>
          <w:szCs w:val="22"/>
        </w:rPr>
        <w:t>Munuaiset ja virtsatiet</w:t>
      </w:r>
    </w:p>
    <w:p w14:paraId="5F307EA2" w14:textId="77777777" w:rsidR="00D17793" w:rsidRDefault="00D17793" w:rsidP="001D6F63">
      <w:pPr>
        <w:suppressAutoHyphens/>
        <w:rPr>
          <w:color w:val="000000"/>
          <w:szCs w:val="22"/>
        </w:rPr>
      </w:pPr>
      <w:r w:rsidRPr="00924EB7">
        <w:rPr>
          <w:color w:val="000000"/>
          <w:szCs w:val="22"/>
        </w:rPr>
        <w:t>Munuaisten toiminnan heikkeneminen, mukaan lukien munuaisten vajaatoiminta, riskipotilailla (esim. munuaisvaltimon ahtaumaa sairastavilla).</w:t>
      </w:r>
    </w:p>
    <w:p w14:paraId="6276EF88" w14:textId="77777777" w:rsidR="00A75B90" w:rsidRDefault="00A75B90" w:rsidP="001D6F63">
      <w:pPr>
        <w:suppressAutoHyphens/>
        <w:rPr>
          <w:b/>
          <w:noProof/>
        </w:rPr>
      </w:pPr>
    </w:p>
    <w:p w14:paraId="07D016B7" w14:textId="77777777" w:rsidR="00D523C8" w:rsidRPr="00ED54E5" w:rsidRDefault="00A75B90" w:rsidP="001D6F63">
      <w:pPr>
        <w:suppressAutoHyphens/>
        <w:rPr>
          <w:bCs/>
          <w:i/>
          <w:iCs/>
          <w:noProof/>
        </w:rPr>
      </w:pPr>
      <w:r w:rsidRPr="00ED54E5">
        <w:rPr>
          <w:bCs/>
          <w:i/>
          <w:iCs/>
          <w:noProof/>
        </w:rPr>
        <w:t>Luusto, lihakset ja sidekudos</w:t>
      </w:r>
    </w:p>
    <w:p w14:paraId="550429F2" w14:textId="77777777" w:rsidR="00A75B90" w:rsidRPr="00A75B90" w:rsidRDefault="00A75B90" w:rsidP="001D6F63">
      <w:pPr>
        <w:suppressAutoHyphens/>
        <w:rPr>
          <w:color w:val="000000"/>
          <w:szCs w:val="22"/>
        </w:rPr>
      </w:pPr>
      <w:r w:rsidRPr="00A75B90">
        <w:rPr>
          <w:noProof/>
        </w:rPr>
        <w:t>Artralgia.</w:t>
      </w:r>
    </w:p>
    <w:p w14:paraId="1BC9FCFC" w14:textId="77777777" w:rsidR="00A75B90" w:rsidRDefault="00A75B90" w:rsidP="007E2364">
      <w:pPr>
        <w:rPr>
          <w:szCs w:val="22"/>
          <w:u w:val="single"/>
        </w:rPr>
      </w:pPr>
    </w:p>
    <w:p w14:paraId="2EFB21BF" w14:textId="77777777" w:rsidR="007E2364" w:rsidRPr="00DA59DC" w:rsidRDefault="007E2364" w:rsidP="007E2364">
      <w:pPr>
        <w:rPr>
          <w:szCs w:val="22"/>
          <w:u w:val="single"/>
        </w:rPr>
      </w:pPr>
      <w:r w:rsidRPr="00DA59DC">
        <w:rPr>
          <w:szCs w:val="22"/>
          <w:u w:val="single"/>
        </w:rPr>
        <w:t>Epäillyistä haittavaikutuksista ilmoittaminen</w:t>
      </w:r>
    </w:p>
    <w:p w14:paraId="734A59D3" w14:textId="77777777" w:rsidR="007E2364" w:rsidRDefault="007E2364" w:rsidP="007E2364">
      <w:pPr>
        <w:rPr>
          <w:szCs w:val="22"/>
        </w:rPr>
      </w:pPr>
      <w:r w:rsidRPr="005C4AC8">
        <w:rPr>
          <w:szCs w:val="22"/>
        </w:rPr>
        <w:t>On tärkeää ilmoittaa myyntiluvan myöntämisen jälkeisistä lääkevalmisteen epäillyistä haittavaikutuksista. Se mahdollistaa lääkevalmisteen hyöty</w:t>
      </w:r>
      <w:r w:rsidRPr="005C4AC8">
        <w:rPr>
          <w:rFonts w:ascii="Cambria Math" w:hAnsi="Cambria Math" w:cs="Cambria Math"/>
          <w:szCs w:val="22"/>
        </w:rPr>
        <w:t>‐</w:t>
      </w:r>
      <w:r w:rsidRPr="005C4AC8">
        <w:rPr>
          <w:szCs w:val="22"/>
        </w:rPr>
        <w:t>haittatasapainon jatkuvan arvioinnin. Terveydenhuollon ammattilaisia pyydetään ilmoittamaan kaikista epäillyistä haittavaikutuksista seuraavalle taholle:</w:t>
      </w:r>
      <w:r>
        <w:rPr>
          <w:szCs w:val="22"/>
        </w:rPr>
        <w:t xml:space="preserve"> </w:t>
      </w:r>
    </w:p>
    <w:p w14:paraId="0664F1C3" w14:textId="77777777" w:rsidR="007E2364" w:rsidRDefault="007E2364" w:rsidP="007E2364">
      <w:pPr>
        <w:rPr>
          <w:szCs w:val="22"/>
        </w:rPr>
      </w:pPr>
    </w:p>
    <w:p w14:paraId="699B6DED" w14:textId="77777777" w:rsidR="007E2364" w:rsidRPr="005C4AC8" w:rsidRDefault="007E2364" w:rsidP="007E2364">
      <w:pPr>
        <w:rPr>
          <w:szCs w:val="22"/>
        </w:rPr>
      </w:pPr>
      <w:r w:rsidRPr="005C4AC8">
        <w:rPr>
          <w:szCs w:val="22"/>
        </w:rPr>
        <w:t>www</w:t>
      </w:r>
      <w:r w:rsidRPr="005C4AC8">
        <w:rPr>
          <w:rFonts w:ascii="Cambria Math" w:hAnsi="Cambria Math" w:cs="Cambria Math"/>
          <w:szCs w:val="22"/>
        </w:rPr>
        <w:t>‐</w:t>
      </w:r>
      <w:r w:rsidRPr="005C4AC8">
        <w:rPr>
          <w:szCs w:val="22"/>
        </w:rPr>
        <w:t>sivusto: www.fimea.fi</w:t>
      </w:r>
    </w:p>
    <w:p w14:paraId="0AD4FDC2" w14:textId="77777777" w:rsidR="007E2364" w:rsidRPr="005C4AC8" w:rsidRDefault="007E2364" w:rsidP="007E2364">
      <w:pPr>
        <w:rPr>
          <w:szCs w:val="22"/>
        </w:rPr>
      </w:pPr>
      <w:r w:rsidRPr="005C4AC8">
        <w:rPr>
          <w:szCs w:val="22"/>
        </w:rPr>
        <w:t>Lääkealan turvallisuus</w:t>
      </w:r>
      <w:r w:rsidRPr="005C4AC8">
        <w:rPr>
          <w:rFonts w:ascii="Cambria Math" w:hAnsi="Cambria Math" w:cs="Cambria Math"/>
          <w:szCs w:val="22"/>
        </w:rPr>
        <w:t>‐</w:t>
      </w:r>
      <w:r w:rsidRPr="005C4AC8">
        <w:rPr>
          <w:szCs w:val="22"/>
        </w:rPr>
        <w:t xml:space="preserve"> ja kehittämiskeskus Fimea</w:t>
      </w:r>
    </w:p>
    <w:p w14:paraId="2817BB18" w14:textId="77777777" w:rsidR="007E2364" w:rsidRPr="005C4AC8" w:rsidRDefault="007E2364" w:rsidP="007E2364">
      <w:pPr>
        <w:rPr>
          <w:szCs w:val="22"/>
        </w:rPr>
      </w:pPr>
      <w:r w:rsidRPr="005C4AC8">
        <w:rPr>
          <w:szCs w:val="22"/>
        </w:rPr>
        <w:t>Lääkkeiden haittavaikutusrekisteri</w:t>
      </w:r>
    </w:p>
    <w:p w14:paraId="3171435D" w14:textId="77777777" w:rsidR="007E2364" w:rsidRPr="005C4AC8" w:rsidRDefault="007E2364" w:rsidP="007E2364">
      <w:pPr>
        <w:rPr>
          <w:szCs w:val="22"/>
        </w:rPr>
      </w:pPr>
      <w:r w:rsidRPr="005C4AC8">
        <w:rPr>
          <w:szCs w:val="22"/>
        </w:rPr>
        <w:t>PL 55</w:t>
      </w:r>
    </w:p>
    <w:p w14:paraId="613210BD" w14:textId="77777777" w:rsidR="007E2364" w:rsidRDefault="007E2364" w:rsidP="007E2364">
      <w:pPr>
        <w:rPr>
          <w:szCs w:val="22"/>
        </w:rPr>
      </w:pPr>
      <w:r w:rsidRPr="005C4AC8">
        <w:rPr>
          <w:szCs w:val="22"/>
        </w:rPr>
        <w:t xml:space="preserve">00034 </w:t>
      </w:r>
      <w:r w:rsidR="00A75B90" w:rsidRPr="005C4AC8">
        <w:rPr>
          <w:szCs w:val="22"/>
        </w:rPr>
        <w:t>F</w:t>
      </w:r>
      <w:r w:rsidR="00A75B90">
        <w:rPr>
          <w:szCs w:val="22"/>
        </w:rPr>
        <w:t>IMEA</w:t>
      </w:r>
    </w:p>
    <w:p w14:paraId="58B90736" w14:textId="77777777" w:rsidR="007E2364" w:rsidRPr="00924EB7" w:rsidRDefault="007E2364" w:rsidP="00372A5A">
      <w:pPr>
        <w:suppressAutoHyphens/>
        <w:rPr>
          <w:color w:val="000000"/>
          <w:szCs w:val="22"/>
        </w:rPr>
      </w:pPr>
    </w:p>
    <w:p w14:paraId="4D5699AE" w14:textId="77777777" w:rsidR="00842EBE" w:rsidRPr="00924EB7" w:rsidRDefault="00842EBE" w:rsidP="0027385B">
      <w:pPr>
        <w:pStyle w:val="Heading2"/>
      </w:pPr>
      <w:proofErr w:type="spellStart"/>
      <w:r w:rsidRPr="00924EB7">
        <w:t>Yliannostus</w:t>
      </w:r>
      <w:proofErr w:type="spellEnd"/>
    </w:p>
    <w:p w14:paraId="0E5273BE" w14:textId="77777777" w:rsidR="00D523C8" w:rsidRDefault="00D523C8" w:rsidP="00372A5A">
      <w:pPr>
        <w:rPr>
          <w:color w:val="000000"/>
          <w:szCs w:val="22"/>
        </w:rPr>
      </w:pPr>
    </w:p>
    <w:p w14:paraId="0C2EF719" w14:textId="77777777" w:rsidR="00842EBE" w:rsidRDefault="00842EBE" w:rsidP="00372A5A">
      <w:pPr>
        <w:rPr>
          <w:color w:val="000000"/>
          <w:szCs w:val="22"/>
        </w:rPr>
      </w:pPr>
      <w:r w:rsidRPr="00924EB7">
        <w:rPr>
          <w:color w:val="000000"/>
          <w:szCs w:val="22"/>
        </w:rPr>
        <w:t xml:space="preserve">Yliannostuksesta ihmisille on vähän tietoa. </w:t>
      </w:r>
      <w:r w:rsidR="00BF5B40">
        <w:rPr>
          <w:color w:val="000000"/>
          <w:szCs w:val="22"/>
        </w:rPr>
        <w:t xml:space="preserve">Yksittäisraportteja on saatu kauppaantulon jälkeen missä annoksia 12000 mg:aan asti on otettu. Useimmat potilaat eivät ilmoittaneet mitään sivuvaikutuksia. Yhdessä tapauksessa ilmeni verenkierron romahdus 12000 mg eprosartaanin ottamisen jälkeen. </w:t>
      </w:r>
      <w:r w:rsidR="00A67877">
        <w:rPr>
          <w:color w:val="000000"/>
          <w:szCs w:val="22"/>
        </w:rPr>
        <w:lastRenderedPageBreak/>
        <w:t>Henkilö</w:t>
      </w:r>
      <w:r w:rsidR="00BF5B40">
        <w:rPr>
          <w:color w:val="000000"/>
          <w:szCs w:val="22"/>
        </w:rPr>
        <w:t xml:space="preserve"> toipui täysin. </w:t>
      </w:r>
      <w:r w:rsidRPr="00924EB7">
        <w:rPr>
          <w:color w:val="000000"/>
          <w:szCs w:val="22"/>
        </w:rPr>
        <w:t>Todennäköisin yliannostuksen aiheuttama vaikutus on verenpaineen lasku. Jos oireinen hypotensio kehittyy, on aloitettava elintoimintoja tukeva hoito.</w:t>
      </w:r>
    </w:p>
    <w:p w14:paraId="00CA40F8" w14:textId="77777777" w:rsidR="00D523C8" w:rsidRDefault="00D523C8" w:rsidP="00372A5A">
      <w:pPr>
        <w:rPr>
          <w:color w:val="000000"/>
          <w:szCs w:val="22"/>
        </w:rPr>
      </w:pPr>
    </w:p>
    <w:p w14:paraId="6A2B1720" w14:textId="77777777" w:rsidR="00D523C8" w:rsidRPr="00924EB7" w:rsidRDefault="00D523C8" w:rsidP="00372A5A">
      <w:pPr>
        <w:rPr>
          <w:szCs w:val="22"/>
        </w:rPr>
      </w:pPr>
    </w:p>
    <w:p w14:paraId="122306D6" w14:textId="77777777" w:rsidR="00842EBE" w:rsidRDefault="00842EBE" w:rsidP="0027385B">
      <w:pPr>
        <w:pStyle w:val="Heading1"/>
      </w:pPr>
      <w:r w:rsidRPr="00924EB7">
        <w:t>FARMAKOLOGISET OMINAISUUDET</w:t>
      </w:r>
    </w:p>
    <w:p w14:paraId="64CA075F" w14:textId="77777777" w:rsidR="00D523C8" w:rsidRPr="00D523C8" w:rsidRDefault="00D523C8" w:rsidP="001D6F63"/>
    <w:p w14:paraId="3589BA3A" w14:textId="77777777" w:rsidR="00842EBE" w:rsidRPr="00924EB7" w:rsidRDefault="00842EBE" w:rsidP="0027385B">
      <w:pPr>
        <w:pStyle w:val="Heading2"/>
      </w:pPr>
      <w:proofErr w:type="spellStart"/>
      <w:r w:rsidRPr="00924EB7">
        <w:t>Farmakodynamiikka</w:t>
      </w:r>
      <w:proofErr w:type="spellEnd"/>
    </w:p>
    <w:p w14:paraId="7FBA206D" w14:textId="77777777" w:rsidR="00D523C8" w:rsidRDefault="00D523C8" w:rsidP="00372A5A">
      <w:pPr>
        <w:suppressAutoHyphens/>
        <w:rPr>
          <w:color w:val="000000"/>
          <w:szCs w:val="22"/>
        </w:rPr>
      </w:pPr>
    </w:p>
    <w:p w14:paraId="227B023D" w14:textId="77777777" w:rsidR="00842EBE" w:rsidRPr="00924EB7" w:rsidRDefault="00842EBE" w:rsidP="00372A5A">
      <w:pPr>
        <w:suppressAutoHyphens/>
        <w:rPr>
          <w:color w:val="000000"/>
          <w:szCs w:val="22"/>
        </w:rPr>
      </w:pPr>
      <w:r w:rsidRPr="00924EB7">
        <w:rPr>
          <w:color w:val="000000"/>
          <w:szCs w:val="22"/>
        </w:rPr>
        <w:t xml:space="preserve">Farmakoterapeuttinen ryhmä: Eprosartaani, ATC-koodi: C09CA02 </w:t>
      </w:r>
    </w:p>
    <w:p w14:paraId="6411B5C0" w14:textId="77777777" w:rsidR="00842EBE" w:rsidRPr="00924EB7" w:rsidRDefault="00842EBE" w:rsidP="00372A5A">
      <w:pPr>
        <w:suppressAutoHyphens/>
        <w:rPr>
          <w:strike/>
          <w:color w:val="000000"/>
          <w:szCs w:val="22"/>
        </w:rPr>
      </w:pPr>
    </w:p>
    <w:p w14:paraId="16766D8E" w14:textId="77777777" w:rsidR="00842EBE" w:rsidRPr="00924EB7" w:rsidRDefault="00842EBE" w:rsidP="00372A5A">
      <w:pPr>
        <w:suppressAutoHyphens/>
        <w:rPr>
          <w:strike/>
          <w:color w:val="000000"/>
          <w:szCs w:val="22"/>
        </w:rPr>
      </w:pPr>
      <w:r w:rsidRPr="00924EB7">
        <w:rPr>
          <w:color w:val="000000"/>
          <w:szCs w:val="22"/>
        </w:rPr>
        <w:t xml:space="preserve">Eprosartaani on synteettinen, nieltynä aktiivinen, bifenyyleihin ja tetratsoleihin kuulumaton angiotensiini II </w:t>
      </w:r>
      <w:r w:rsidR="00736F0C">
        <w:rPr>
          <w:color w:val="000000"/>
          <w:szCs w:val="22"/>
        </w:rPr>
        <w:t>-</w:t>
      </w:r>
      <w:r w:rsidRPr="00924EB7">
        <w:rPr>
          <w:color w:val="000000"/>
          <w:szCs w:val="22"/>
        </w:rPr>
        <w:t>reseptorin</w:t>
      </w:r>
      <w:r w:rsidR="00924EB7">
        <w:rPr>
          <w:color w:val="000000"/>
          <w:szCs w:val="22"/>
        </w:rPr>
        <w:t xml:space="preserve"> </w:t>
      </w:r>
      <w:r w:rsidRPr="00924EB7">
        <w:rPr>
          <w:color w:val="000000"/>
          <w:szCs w:val="22"/>
        </w:rPr>
        <w:t>salpaaja.</w:t>
      </w:r>
    </w:p>
    <w:p w14:paraId="58559C27" w14:textId="77777777" w:rsidR="00842EBE" w:rsidRPr="00924EB7" w:rsidRDefault="00842EBE" w:rsidP="001D6F63">
      <w:pPr>
        <w:suppressAutoHyphens/>
        <w:rPr>
          <w:color w:val="000000"/>
          <w:szCs w:val="22"/>
        </w:rPr>
      </w:pPr>
    </w:p>
    <w:p w14:paraId="67546D84" w14:textId="77777777" w:rsidR="00842EBE" w:rsidRPr="00924EB7" w:rsidRDefault="00842EBE" w:rsidP="001D6F63">
      <w:pPr>
        <w:suppressAutoHyphens/>
        <w:rPr>
          <w:strike/>
          <w:color w:val="000000"/>
          <w:szCs w:val="22"/>
        </w:rPr>
      </w:pPr>
      <w:r w:rsidRPr="00924EB7">
        <w:rPr>
          <w:color w:val="000000"/>
          <w:szCs w:val="22"/>
        </w:rPr>
        <w:t>Angiotensiini II on voimakas vasokonstriktori ja reniini-angiotensiini-aldosteronijärjestelmän ensisijainen vaikuttava hormoni, jonka toiminta liittyy verenpainetaudin patofysiologiaan.</w:t>
      </w:r>
    </w:p>
    <w:p w14:paraId="2CFA49A1" w14:textId="77777777" w:rsidR="00842EBE" w:rsidRPr="00924EB7" w:rsidRDefault="00842EBE" w:rsidP="001D6F63">
      <w:pPr>
        <w:suppressAutoHyphens/>
        <w:rPr>
          <w:color w:val="000000"/>
          <w:szCs w:val="22"/>
        </w:rPr>
      </w:pPr>
      <w:r w:rsidRPr="00924EB7">
        <w:rPr>
          <w:color w:val="000000"/>
          <w:szCs w:val="22"/>
        </w:rPr>
        <w:t>Terveillä vapaaehtoisilla suoritetuissa tutkimuksissa eprosartaanin on osoitettu salpaavan angiotensiini II:n vaikutukset verenpaineeseen, munuaisten verenkiertoon ja aldosteronin eritykseen. Verenpainetta säätelevä vaikutus säilyy yli 24 tunnin ajan ilman ensimmäiseen annokseen liittyvää posturaalista hypotensiota tai refleksitakykardiaa. Eprosartaanihoidon lopettaminen ei johda nopeaan verenpaineen nousuun (ns. rebound-ilmiöön).</w:t>
      </w:r>
    </w:p>
    <w:p w14:paraId="18E775D0" w14:textId="77777777" w:rsidR="00842EBE" w:rsidRPr="00924EB7" w:rsidRDefault="00842EBE" w:rsidP="001D6F63">
      <w:pPr>
        <w:suppressAutoHyphens/>
        <w:rPr>
          <w:color w:val="000000"/>
          <w:szCs w:val="22"/>
        </w:rPr>
      </w:pPr>
    </w:p>
    <w:p w14:paraId="029F7B9E" w14:textId="77777777" w:rsidR="00842EBE" w:rsidRPr="00924EB7" w:rsidRDefault="00842EBE" w:rsidP="001D6F63">
      <w:pPr>
        <w:suppressAutoHyphens/>
        <w:rPr>
          <w:color w:val="000000"/>
          <w:szCs w:val="22"/>
        </w:rPr>
      </w:pPr>
      <w:r w:rsidRPr="00924EB7">
        <w:rPr>
          <w:color w:val="000000"/>
          <w:szCs w:val="22"/>
        </w:rPr>
        <w:t xml:space="preserve">Eprosartaania tutkittiin lievässä ja keskivaikeassa verenpainetaudissa (diastolinen verenpaine </w:t>
      </w:r>
      <w:r w:rsidR="00015D5D" w:rsidRPr="00924EB7">
        <w:rPr>
          <w:color w:val="000000"/>
          <w:szCs w:val="22"/>
        </w:rPr>
        <w:t>≥</w:t>
      </w:r>
      <w:r w:rsidR="007E2364">
        <w:rPr>
          <w:color w:val="000000"/>
          <w:szCs w:val="22"/>
        </w:rPr>
        <w:t> </w:t>
      </w:r>
      <w:r w:rsidRPr="00924EB7">
        <w:rPr>
          <w:color w:val="000000"/>
          <w:szCs w:val="22"/>
        </w:rPr>
        <w:t>95</w:t>
      </w:r>
      <w:r w:rsidR="007E2364">
        <w:rPr>
          <w:color w:val="000000"/>
          <w:szCs w:val="22"/>
        </w:rPr>
        <w:t> </w:t>
      </w:r>
      <w:r w:rsidRPr="00924EB7">
        <w:rPr>
          <w:color w:val="000000"/>
          <w:szCs w:val="22"/>
        </w:rPr>
        <w:t>mmHg ja &lt;</w:t>
      </w:r>
      <w:r w:rsidR="007E2364">
        <w:rPr>
          <w:color w:val="000000"/>
          <w:szCs w:val="22"/>
        </w:rPr>
        <w:t> </w:t>
      </w:r>
      <w:r w:rsidRPr="00924EB7">
        <w:rPr>
          <w:color w:val="000000"/>
          <w:szCs w:val="22"/>
        </w:rPr>
        <w:t>115</w:t>
      </w:r>
      <w:r w:rsidR="007E2364">
        <w:rPr>
          <w:color w:val="000000"/>
          <w:szCs w:val="22"/>
        </w:rPr>
        <w:t> </w:t>
      </w:r>
      <w:r w:rsidRPr="00924EB7">
        <w:rPr>
          <w:color w:val="000000"/>
          <w:szCs w:val="22"/>
        </w:rPr>
        <w:t xml:space="preserve">mmHg istuen) ja vaikeassa verenpainetaudissa (diastolinen verenpaine </w:t>
      </w:r>
      <w:r w:rsidR="00015D5D" w:rsidRPr="00924EB7">
        <w:rPr>
          <w:color w:val="000000"/>
          <w:szCs w:val="22"/>
        </w:rPr>
        <w:t>≥</w:t>
      </w:r>
      <w:r w:rsidR="007E2364">
        <w:rPr>
          <w:color w:val="000000"/>
          <w:szCs w:val="22"/>
        </w:rPr>
        <w:t> </w:t>
      </w:r>
      <w:r w:rsidRPr="00924EB7">
        <w:rPr>
          <w:color w:val="000000"/>
          <w:szCs w:val="22"/>
        </w:rPr>
        <w:t>115</w:t>
      </w:r>
      <w:r w:rsidR="007E2364">
        <w:rPr>
          <w:color w:val="000000"/>
          <w:szCs w:val="22"/>
        </w:rPr>
        <w:t> </w:t>
      </w:r>
      <w:r w:rsidRPr="00924EB7">
        <w:rPr>
          <w:color w:val="000000"/>
          <w:szCs w:val="22"/>
        </w:rPr>
        <w:t xml:space="preserve">mmHg ja </w:t>
      </w:r>
      <w:r w:rsidR="00015D5D" w:rsidRPr="00924EB7">
        <w:rPr>
          <w:color w:val="000000"/>
          <w:szCs w:val="22"/>
        </w:rPr>
        <w:t>≤</w:t>
      </w:r>
      <w:r w:rsidR="007E2364">
        <w:rPr>
          <w:color w:val="000000"/>
          <w:szCs w:val="22"/>
        </w:rPr>
        <w:t> </w:t>
      </w:r>
      <w:r w:rsidRPr="00924EB7">
        <w:rPr>
          <w:color w:val="000000"/>
          <w:szCs w:val="22"/>
        </w:rPr>
        <w:t>125</w:t>
      </w:r>
      <w:r w:rsidR="007E2364">
        <w:rPr>
          <w:color w:val="000000"/>
          <w:szCs w:val="22"/>
        </w:rPr>
        <w:t> </w:t>
      </w:r>
      <w:r w:rsidRPr="00924EB7">
        <w:rPr>
          <w:color w:val="000000"/>
          <w:szCs w:val="22"/>
        </w:rPr>
        <w:t>mmHg istuen).</w:t>
      </w:r>
    </w:p>
    <w:p w14:paraId="3B5601B7" w14:textId="77777777" w:rsidR="00842EBE" w:rsidRPr="00924EB7" w:rsidRDefault="00842EBE" w:rsidP="001D6F63">
      <w:pPr>
        <w:suppressAutoHyphens/>
        <w:rPr>
          <w:color w:val="000000"/>
          <w:szCs w:val="22"/>
        </w:rPr>
      </w:pPr>
    </w:p>
    <w:p w14:paraId="6D8C8E7D" w14:textId="77777777" w:rsidR="00A67877" w:rsidRPr="00924EB7" w:rsidRDefault="00A67877" w:rsidP="001D6F63">
      <w:pPr>
        <w:suppressAutoHyphens/>
        <w:rPr>
          <w:color w:val="000000"/>
          <w:szCs w:val="22"/>
        </w:rPr>
      </w:pPr>
      <w:r>
        <w:rPr>
          <w:color w:val="000000"/>
          <w:szCs w:val="22"/>
        </w:rPr>
        <w:t>E</w:t>
      </w:r>
      <w:r w:rsidRPr="00924EB7">
        <w:rPr>
          <w:color w:val="000000"/>
          <w:szCs w:val="22"/>
        </w:rPr>
        <w:t>nintään 1200 mg vuorokau</w:t>
      </w:r>
      <w:r>
        <w:rPr>
          <w:color w:val="000000"/>
          <w:szCs w:val="22"/>
        </w:rPr>
        <w:t>siannokset</w:t>
      </w:r>
      <w:r w:rsidRPr="00924EB7">
        <w:rPr>
          <w:color w:val="000000"/>
          <w:szCs w:val="22"/>
        </w:rPr>
        <w:t xml:space="preserve"> kahdeksan viikon ajan o</w:t>
      </w:r>
      <w:r>
        <w:rPr>
          <w:color w:val="000000"/>
          <w:szCs w:val="22"/>
        </w:rPr>
        <w:t>vat</w:t>
      </w:r>
      <w:r w:rsidRPr="00924EB7">
        <w:rPr>
          <w:color w:val="000000"/>
          <w:szCs w:val="22"/>
        </w:rPr>
        <w:t xml:space="preserve"> osoittautun</w:t>
      </w:r>
      <w:r>
        <w:rPr>
          <w:color w:val="000000"/>
          <w:szCs w:val="22"/>
        </w:rPr>
        <w:t>eet</w:t>
      </w:r>
      <w:r w:rsidRPr="00924EB7">
        <w:rPr>
          <w:color w:val="000000"/>
          <w:szCs w:val="22"/>
        </w:rPr>
        <w:t xml:space="preserve"> kliinisissä tutkimuksissa tehokka</w:t>
      </w:r>
      <w:r>
        <w:rPr>
          <w:color w:val="000000"/>
          <w:szCs w:val="22"/>
        </w:rPr>
        <w:t>i</w:t>
      </w:r>
      <w:r w:rsidRPr="00924EB7">
        <w:rPr>
          <w:color w:val="000000"/>
          <w:szCs w:val="22"/>
        </w:rPr>
        <w:t>ksi ilman ilmeistä annosriippuvuutta raportoitujen haittavaikutusten esiintyvyydessä.</w:t>
      </w:r>
    </w:p>
    <w:p w14:paraId="44434D6B" w14:textId="77777777" w:rsidR="00A67877" w:rsidRPr="00924EB7" w:rsidRDefault="00A67877" w:rsidP="001D6F63">
      <w:pPr>
        <w:suppressAutoHyphens/>
        <w:rPr>
          <w:color w:val="000000"/>
          <w:szCs w:val="22"/>
        </w:rPr>
      </w:pPr>
    </w:p>
    <w:p w14:paraId="64FDCD06" w14:textId="77777777" w:rsidR="00A67877" w:rsidRPr="00924EB7" w:rsidRDefault="00A67877" w:rsidP="001D6F63">
      <w:pPr>
        <w:suppressAutoHyphens/>
        <w:rPr>
          <w:color w:val="000000"/>
          <w:szCs w:val="22"/>
        </w:rPr>
      </w:pPr>
      <w:r w:rsidRPr="00924EB7">
        <w:rPr>
          <w:color w:val="000000"/>
          <w:szCs w:val="22"/>
        </w:rPr>
        <w:t xml:space="preserve">Verenpaineen lasku ei muuttanut verenpainetautipotilaiden sydämen syketiheyttä. </w:t>
      </w:r>
    </w:p>
    <w:p w14:paraId="77AF4022" w14:textId="77777777" w:rsidR="00A67877" w:rsidRPr="00924EB7" w:rsidRDefault="00A67877" w:rsidP="001D6F63">
      <w:pPr>
        <w:suppressAutoHyphens/>
        <w:rPr>
          <w:color w:val="000000"/>
          <w:szCs w:val="22"/>
        </w:rPr>
      </w:pPr>
    </w:p>
    <w:p w14:paraId="193C5A34" w14:textId="77777777" w:rsidR="00A67877" w:rsidRPr="00924EB7" w:rsidRDefault="00A67877" w:rsidP="001D6F63">
      <w:pPr>
        <w:suppressAutoHyphens/>
        <w:rPr>
          <w:color w:val="000000"/>
          <w:szCs w:val="22"/>
        </w:rPr>
      </w:pPr>
      <w:r w:rsidRPr="00924EB7">
        <w:rPr>
          <w:color w:val="000000"/>
          <w:szCs w:val="22"/>
        </w:rPr>
        <w:t xml:space="preserve">MOSES-tutkimuksessa (Morbidity and mortality after Stroke, Eprosartan compared with nitrendipine for Secondary prevention) hoidettiin 1405:tä sellaista verenpainepotilasta, joilla oli ollut aivoverisuonitapahtumia, joko eprosartaanilla tai nitrendipiinilla. </w:t>
      </w:r>
      <w:r w:rsidRPr="00E23D6F">
        <w:rPr>
          <w:color w:val="000000"/>
          <w:szCs w:val="22"/>
        </w:rPr>
        <w:t xml:space="preserve">Tutkimus oli koeasetelmaltaan prospektiivinen, avoin, </w:t>
      </w:r>
      <w:r>
        <w:rPr>
          <w:color w:val="000000"/>
          <w:szCs w:val="22"/>
        </w:rPr>
        <w:t>satunnaistettu</w:t>
      </w:r>
      <w:r w:rsidRPr="00E23D6F">
        <w:rPr>
          <w:color w:val="000000"/>
          <w:szCs w:val="22"/>
        </w:rPr>
        <w:t xml:space="preserve"> ja havainnoitsijalta sokkoutettu. </w:t>
      </w:r>
      <w:r>
        <w:rPr>
          <w:color w:val="000000"/>
          <w:szCs w:val="22"/>
        </w:rPr>
        <w:t>T</w:t>
      </w:r>
      <w:r w:rsidRPr="00924EB7">
        <w:rPr>
          <w:color w:val="000000"/>
          <w:szCs w:val="22"/>
        </w:rPr>
        <w:t>utkimuksen eprosartaaniryhmässä 78 %:lla potilaista annostus oli 600 mg kerran päivässä; 12 %:lla enintään 800</w:t>
      </w:r>
      <w:r>
        <w:rPr>
          <w:color w:val="000000"/>
          <w:szCs w:val="22"/>
        </w:rPr>
        <w:t> </w:t>
      </w:r>
      <w:r w:rsidRPr="00924EB7">
        <w:rPr>
          <w:color w:val="000000"/>
          <w:szCs w:val="22"/>
        </w:rPr>
        <w:t>mg päivässä; nitrendipiiniryhmässä 47 %:lla potilaista 10 mg ja 42 %:lla 20 mg päivässä (11 % enintään 40 mg). Ensisijai</w:t>
      </w:r>
      <w:r>
        <w:rPr>
          <w:color w:val="000000"/>
          <w:szCs w:val="22"/>
        </w:rPr>
        <w:t>seen</w:t>
      </w:r>
      <w:r w:rsidRPr="00924EB7">
        <w:rPr>
          <w:color w:val="000000"/>
          <w:szCs w:val="22"/>
        </w:rPr>
        <w:t xml:space="preserve"> yhdistelmäpäätetapahtum</w:t>
      </w:r>
      <w:r>
        <w:rPr>
          <w:color w:val="000000"/>
          <w:szCs w:val="22"/>
        </w:rPr>
        <w:t>aan</w:t>
      </w:r>
      <w:r w:rsidRPr="00924EB7">
        <w:rPr>
          <w:color w:val="000000"/>
          <w:szCs w:val="22"/>
        </w:rPr>
        <w:t xml:space="preserve"> sisäl</w:t>
      </w:r>
      <w:r>
        <w:rPr>
          <w:color w:val="000000"/>
          <w:szCs w:val="22"/>
        </w:rPr>
        <w:t>tyi</w:t>
      </w:r>
      <w:r w:rsidRPr="00924EB7">
        <w:rPr>
          <w:color w:val="000000"/>
          <w:szCs w:val="22"/>
        </w:rPr>
        <w:t xml:space="preserve"> kuolleisuus</w:t>
      </w:r>
      <w:r>
        <w:t xml:space="preserve"> (</w:t>
      </w:r>
      <w:r w:rsidRPr="00E23D6F">
        <w:t>mistä tahansa syystä</w:t>
      </w:r>
      <w:r>
        <w:t>)</w:t>
      </w:r>
      <w:r w:rsidRPr="00924EB7">
        <w:rPr>
          <w:color w:val="000000"/>
          <w:szCs w:val="22"/>
        </w:rPr>
        <w:t>, aivoverisuonitapahtumat (TIA, PRIND, aivohalvaus) sekä sydän</w:t>
      </w:r>
      <w:r>
        <w:rPr>
          <w:color w:val="000000"/>
          <w:szCs w:val="22"/>
        </w:rPr>
        <w:t xml:space="preserve">- ja </w:t>
      </w:r>
      <w:r w:rsidRPr="00924EB7">
        <w:rPr>
          <w:color w:val="000000"/>
          <w:szCs w:val="22"/>
        </w:rPr>
        <w:t>verisuonitapahtumat (epästabiili angina, sydäninfarkti, sydä</w:t>
      </w:r>
      <w:r>
        <w:rPr>
          <w:color w:val="000000"/>
          <w:szCs w:val="22"/>
        </w:rPr>
        <w:t>men vajaatoiminta</w:t>
      </w:r>
      <w:r w:rsidRPr="00924EB7">
        <w:rPr>
          <w:color w:val="000000"/>
          <w:szCs w:val="22"/>
        </w:rPr>
        <w:t xml:space="preserve">, keuhkoembolia ja fataalit sydämen rytmihäiriöt) mukaan lukien uusiutuvat tilat. Verenpainetavoitearvot saavutettiin molemmilla lääkkeillä ja </w:t>
      </w:r>
      <w:r>
        <w:rPr>
          <w:color w:val="000000"/>
          <w:szCs w:val="22"/>
        </w:rPr>
        <w:t>pysyivät</w:t>
      </w:r>
      <w:r w:rsidRPr="00924EB7">
        <w:rPr>
          <w:color w:val="000000"/>
          <w:szCs w:val="22"/>
        </w:rPr>
        <w:t xml:space="preserve"> tavoitetasolla läpi tutkimuksen. Eprosartaaniryhmässä tulos oli ensisijais</w:t>
      </w:r>
      <w:r>
        <w:rPr>
          <w:color w:val="000000"/>
          <w:szCs w:val="22"/>
        </w:rPr>
        <w:t>en</w:t>
      </w:r>
      <w:r w:rsidRPr="00924EB7">
        <w:rPr>
          <w:color w:val="000000"/>
          <w:szCs w:val="22"/>
        </w:rPr>
        <w:t xml:space="preserve"> päätetapahtum</w:t>
      </w:r>
      <w:r>
        <w:rPr>
          <w:color w:val="000000"/>
          <w:szCs w:val="22"/>
        </w:rPr>
        <w:t xml:space="preserve">an </w:t>
      </w:r>
      <w:r w:rsidRPr="00924EB7">
        <w:rPr>
          <w:color w:val="000000"/>
          <w:szCs w:val="22"/>
        </w:rPr>
        <w:t>osalta huomattavasti parempi (</w:t>
      </w:r>
      <w:r>
        <w:rPr>
          <w:color w:val="000000"/>
          <w:szCs w:val="22"/>
        </w:rPr>
        <w:t>riskin vähenemä</w:t>
      </w:r>
      <w:r w:rsidRPr="00924EB7">
        <w:rPr>
          <w:color w:val="000000"/>
          <w:szCs w:val="22"/>
        </w:rPr>
        <w:t xml:space="preserve"> 21</w:t>
      </w:r>
      <w:r>
        <w:rPr>
          <w:color w:val="000000"/>
          <w:szCs w:val="22"/>
        </w:rPr>
        <w:t xml:space="preserve"> </w:t>
      </w:r>
      <w:r w:rsidRPr="00924EB7">
        <w:rPr>
          <w:color w:val="000000"/>
          <w:szCs w:val="22"/>
        </w:rPr>
        <w:t xml:space="preserve">%). </w:t>
      </w:r>
      <w:r>
        <w:rPr>
          <w:color w:val="000000"/>
          <w:szCs w:val="22"/>
        </w:rPr>
        <w:t xml:space="preserve">Ensimmäisten tapahtumien analyysissä aivoverisuonitapahtumien numeerinen riskin vähenemä oli 12 % ja sydän- ja verisuonitapahtumien 30 %. </w:t>
      </w:r>
      <w:r w:rsidRPr="00924EB7">
        <w:rPr>
          <w:color w:val="000000"/>
          <w:szCs w:val="22"/>
        </w:rPr>
        <w:t>Nämä tulokset johtuivat pääsiassa TIA/PRIND-kohtausten, epästabiilin anginan ja sydä</w:t>
      </w:r>
      <w:r>
        <w:rPr>
          <w:color w:val="000000"/>
          <w:szCs w:val="22"/>
        </w:rPr>
        <w:t>men vajaatoiminnan</w:t>
      </w:r>
      <w:r w:rsidRPr="00924EB7">
        <w:rPr>
          <w:color w:val="000000"/>
          <w:szCs w:val="22"/>
        </w:rPr>
        <w:t xml:space="preserve"> vähenemisestä. Nitrendipiinin vaikutus </w:t>
      </w:r>
      <w:r>
        <w:rPr>
          <w:color w:val="000000"/>
          <w:szCs w:val="22"/>
        </w:rPr>
        <w:t>kokonais</w:t>
      </w:r>
      <w:r w:rsidRPr="00924EB7">
        <w:rPr>
          <w:color w:val="000000"/>
          <w:szCs w:val="22"/>
        </w:rPr>
        <w:t>kuolleisuuteen oli numeerisesti katsottuna parempi; eprosartaaniryhmässä 57 potilasta 681:stä kuoli ja nitrendipiiniryhmässä 52 potilasta 671:stä (</w:t>
      </w:r>
      <w:r>
        <w:rPr>
          <w:color w:val="000000"/>
          <w:szCs w:val="22"/>
        </w:rPr>
        <w:t xml:space="preserve">riskisuhde </w:t>
      </w:r>
      <w:r w:rsidRPr="00924EB7">
        <w:rPr>
          <w:color w:val="000000"/>
          <w:szCs w:val="22"/>
        </w:rPr>
        <w:t>1,07, 95 % CI 0,73–1,56, p</w:t>
      </w:r>
      <w:r>
        <w:rPr>
          <w:color w:val="000000"/>
          <w:szCs w:val="22"/>
        </w:rPr>
        <w:t xml:space="preserve"> </w:t>
      </w:r>
      <w:r w:rsidRPr="00924EB7">
        <w:rPr>
          <w:color w:val="000000"/>
          <w:szCs w:val="22"/>
        </w:rPr>
        <w:t>=</w:t>
      </w:r>
      <w:r>
        <w:rPr>
          <w:color w:val="000000"/>
          <w:szCs w:val="22"/>
        </w:rPr>
        <w:t xml:space="preserve"> </w:t>
      </w:r>
      <w:r w:rsidRPr="00924EB7">
        <w:rPr>
          <w:color w:val="000000"/>
          <w:szCs w:val="22"/>
        </w:rPr>
        <w:t>0,725). Fataali ja non-fataali sydäninfarkti todettiin 18:lla/20:llä potilaalla ja aivohalvaus 36:lla/42:lla potilaalla, eli</w:t>
      </w:r>
      <w:r>
        <w:rPr>
          <w:color w:val="000000"/>
          <w:szCs w:val="22"/>
        </w:rPr>
        <w:t xml:space="preserve"> </w:t>
      </w:r>
      <w:r w:rsidRPr="00924EB7">
        <w:rPr>
          <w:color w:val="000000"/>
          <w:szCs w:val="22"/>
        </w:rPr>
        <w:t>numeerisesti vähemmän eprosartaanilla. Ensisijaisen päätetapahtuman osalta eprosartaani näytti vaikuttavan tehokka</w:t>
      </w:r>
      <w:r>
        <w:rPr>
          <w:color w:val="000000"/>
          <w:szCs w:val="22"/>
        </w:rPr>
        <w:t>a</w:t>
      </w:r>
      <w:r w:rsidRPr="00924EB7">
        <w:rPr>
          <w:color w:val="000000"/>
          <w:szCs w:val="22"/>
        </w:rPr>
        <w:t>mmin potilai</w:t>
      </w:r>
      <w:r>
        <w:rPr>
          <w:color w:val="000000"/>
          <w:szCs w:val="22"/>
        </w:rPr>
        <w:t>ll</w:t>
      </w:r>
      <w:r w:rsidRPr="00924EB7">
        <w:rPr>
          <w:color w:val="000000"/>
          <w:szCs w:val="22"/>
        </w:rPr>
        <w:t xml:space="preserve">a, jotka eivät käyttäneet beetasalpaajia. </w:t>
      </w:r>
    </w:p>
    <w:p w14:paraId="3B5D4E7D" w14:textId="77777777" w:rsidR="00A67877" w:rsidRPr="00924EB7" w:rsidRDefault="00A67877" w:rsidP="001D6F63">
      <w:pPr>
        <w:suppressAutoHyphens/>
        <w:rPr>
          <w:color w:val="000000"/>
          <w:szCs w:val="22"/>
        </w:rPr>
      </w:pPr>
    </w:p>
    <w:p w14:paraId="0598E3D6" w14:textId="77777777" w:rsidR="00842EBE" w:rsidRPr="00A67877" w:rsidRDefault="00A67877" w:rsidP="00A67877">
      <w:r w:rsidRPr="00924EB7">
        <w:rPr>
          <w:color w:val="000000"/>
          <w:szCs w:val="22"/>
        </w:rPr>
        <w:t>Eprosartaani ei heikennä munuaisten itsesäätelymekanismia. Tervei</w:t>
      </w:r>
      <w:r>
        <w:rPr>
          <w:color w:val="000000"/>
          <w:szCs w:val="22"/>
        </w:rPr>
        <w:t>ll</w:t>
      </w:r>
      <w:r w:rsidRPr="00924EB7">
        <w:rPr>
          <w:color w:val="000000"/>
          <w:szCs w:val="22"/>
        </w:rPr>
        <w:t>ä aikuisi</w:t>
      </w:r>
      <w:r>
        <w:rPr>
          <w:color w:val="000000"/>
          <w:szCs w:val="22"/>
        </w:rPr>
        <w:t>ll</w:t>
      </w:r>
      <w:r w:rsidRPr="00924EB7">
        <w:rPr>
          <w:color w:val="000000"/>
          <w:szCs w:val="22"/>
        </w:rPr>
        <w:t>a miehi</w:t>
      </w:r>
      <w:r>
        <w:rPr>
          <w:color w:val="000000"/>
          <w:szCs w:val="22"/>
        </w:rPr>
        <w:t>ll</w:t>
      </w:r>
      <w:r w:rsidRPr="00924EB7">
        <w:rPr>
          <w:color w:val="000000"/>
          <w:szCs w:val="22"/>
        </w:rPr>
        <w:t xml:space="preserve">ä eprosartaanin on osoitettu suurentavan munuaisten tehokkaan verenvirtauksen keskiarvoa. Eprosartaanilla ei ole haitallisia vaikutuksia munuaistoimintaan hoidettaessa potilaita, joilla on essentiaalinen verenpainetauti tai munuaisten vajaatoiminta. Eprosartaani ei </w:t>
      </w:r>
      <w:r>
        <w:rPr>
          <w:color w:val="000000"/>
          <w:szCs w:val="22"/>
        </w:rPr>
        <w:t xml:space="preserve">vähennä </w:t>
      </w:r>
      <w:r w:rsidRPr="00924EB7">
        <w:rPr>
          <w:color w:val="000000"/>
          <w:szCs w:val="22"/>
        </w:rPr>
        <w:t xml:space="preserve">terveiden miesten, verenpainepotilaiden eikä eriasteisesta munuaisten vajaatoiminnasta kärsivien potilaiden </w:t>
      </w:r>
      <w:r w:rsidRPr="00924EB7">
        <w:rPr>
          <w:color w:val="000000"/>
          <w:szCs w:val="22"/>
        </w:rPr>
        <w:lastRenderedPageBreak/>
        <w:t>glomerulusfiltraatiota. Eprosartaanilla on natriureettinen vaikutus terveisiin vapaaehtoisiin, jotka noudattavat vähäsuolaista ruokavaliota. Eprosartaania voidaan käyttää turvallisesti potilaille, joilla on essentiaalinen verenpainetauti tai eriasteinen munuaisten vajaatoiminta, aiheuttamatta natriumretentiota tai munuaistoiminnan heikkenemistä.</w:t>
      </w:r>
    </w:p>
    <w:p w14:paraId="556934B9" w14:textId="77777777" w:rsidR="00A67877" w:rsidRPr="00924EB7" w:rsidRDefault="00A67877" w:rsidP="001D6F63">
      <w:pPr>
        <w:suppressAutoHyphens/>
        <w:rPr>
          <w:color w:val="000000"/>
          <w:szCs w:val="22"/>
        </w:rPr>
      </w:pPr>
    </w:p>
    <w:p w14:paraId="40188EF3" w14:textId="77777777" w:rsidR="00842EBE" w:rsidRPr="00924EB7" w:rsidRDefault="00842EBE" w:rsidP="001D6F63">
      <w:pPr>
        <w:suppressAutoHyphens/>
        <w:rPr>
          <w:color w:val="000000"/>
          <w:szCs w:val="22"/>
        </w:rPr>
      </w:pPr>
      <w:r w:rsidRPr="00924EB7">
        <w:rPr>
          <w:color w:val="000000"/>
          <w:szCs w:val="22"/>
        </w:rPr>
        <w:t>Eprosartaani ei muuta merkittävästi virtsahapon erittymistä virtsaan.</w:t>
      </w:r>
    </w:p>
    <w:p w14:paraId="0930CFC8" w14:textId="77777777" w:rsidR="00842EBE" w:rsidRPr="00924EB7" w:rsidRDefault="00842EBE" w:rsidP="001D6F63">
      <w:pPr>
        <w:suppressAutoHyphens/>
        <w:rPr>
          <w:color w:val="000000"/>
          <w:szCs w:val="22"/>
        </w:rPr>
      </w:pPr>
    </w:p>
    <w:p w14:paraId="309FD46B" w14:textId="77777777" w:rsidR="00842EBE" w:rsidRPr="00924EB7" w:rsidRDefault="00842EBE" w:rsidP="001D6F63">
      <w:pPr>
        <w:suppressAutoHyphens/>
        <w:rPr>
          <w:color w:val="000000"/>
          <w:szCs w:val="22"/>
        </w:rPr>
      </w:pPr>
      <w:r w:rsidRPr="00924EB7">
        <w:rPr>
          <w:color w:val="000000"/>
          <w:szCs w:val="22"/>
        </w:rPr>
        <w:t>Eprosartaani ei voimista bradykiniiniin liittyviä (ACE-välitteisiä) vaikutuksia, esim. yskää. Erityisesti yskän esiintymistä eprosartaania ja ACE:n estäjää saavilla potilailla kartoittavassa tutkimuksessa todettiin, että kuivaa itsepintaista yskää esiintyi eprosartaania saavilla potilailla (1,5 %) merkitsevästi vähemmän (p &lt; 0,05) kuin ACE:n estäjää saavilla potilailla (5,4 %). Lisätutkimuksessa koskien yskän esiintymistä potilailla, joilla oli aiemmin ACE:n estäjän käytön aikana esiintynyt yskää, oli kuivan, itsepintaisen yskän insidenssi 2,6 % eprosartaaniryhmässä, 2,7 % plaseboryhmässä ja 25,0 % ACE:n estäjäryhmässä (p</w:t>
      </w:r>
      <w:r w:rsidR="00015D5D" w:rsidRPr="00924EB7">
        <w:rPr>
          <w:color w:val="000000"/>
          <w:szCs w:val="22"/>
        </w:rPr>
        <w:t xml:space="preserve"> </w:t>
      </w:r>
      <w:r w:rsidRPr="00924EB7">
        <w:rPr>
          <w:color w:val="000000"/>
          <w:szCs w:val="22"/>
        </w:rPr>
        <w:t>&lt;</w:t>
      </w:r>
      <w:r w:rsidR="00015D5D" w:rsidRPr="00924EB7">
        <w:rPr>
          <w:color w:val="000000"/>
          <w:szCs w:val="22"/>
        </w:rPr>
        <w:t xml:space="preserve"> </w:t>
      </w:r>
      <w:r w:rsidRPr="00924EB7">
        <w:rPr>
          <w:color w:val="000000"/>
          <w:szCs w:val="22"/>
        </w:rPr>
        <w:t>0,01 eprosartaani vs. ACE:n estäjä).</w:t>
      </w:r>
    </w:p>
    <w:p w14:paraId="7EA4DF83" w14:textId="77777777" w:rsidR="00842EBE" w:rsidRPr="00924EB7" w:rsidRDefault="00842EBE" w:rsidP="001D6F63">
      <w:pPr>
        <w:suppressAutoHyphens/>
        <w:rPr>
          <w:color w:val="000000"/>
          <w:szCs w:val="22"/>
        </w:rPr>
      </w:pPr>
    </w:p>
    <w:p w14:paraId="161FB235" w14:textId="77777777" w:rsidR="00842EBE" w:rsidRDefault="00842EBE" w:rsidP="00D523C8">
      <w:pPr>
        <w:tabs>
          <w:tab w:val="clear" w:pos="567"/>
        </w:tabs>
        <w:rPr>
          <w:color w:val="000000"/>
          <w:szCs w:val="22"/>
        </w:rPr>
      </w:pPr>
      <w:r w:rsidRPr="00924EB7">
        <w:rPr>
          <w:color w:val="000000"/>
          <w:szCs w:val="22"/>
        </w:rPr>
        <w:t>Kolmessa kliinisessä tutkimuksessa (n</w:t>
      </w:r>
      <w:r w:rsidR="00015D5D" w:rsidRPr="00924EB7">
        <w:rPr>
          <w:color w:val="000000"/>
          <w:szCs w:val="22"/>
        </w:rPr>
        <w:t xml:space="preserve"> </w:t>
      </w:r>
      <w:r w:rsidRPr="00924EB7">
        <w:rPr>
          <w:color w:val="000000"/>
          <w:szCs w:val="22"/>
        </w:rPr>
        <w:t>=</w:t>
      </w:r>
      <w:r w:rsidR="00015D5D" w:rsidRPr="00924EB7">
        <w:rPr>
          <w:color w:val="000000"/>
          <w:szCs w:val="22"/>
        </w:rPr>
        <w:t xml:space="preserve"> </w:t>
      </w:r>
      <w:r w:rsidRPr="00924EB7">
        <w:rPr>
          <w:color w:val="000000"/>
          <w:szCs w:val="22"/>
        </w:rPr>
        <w:t>791) eprosartaanin verenpainetta alentavan vaikutuksen on osoitettu olevan vähintään yhtä suuri kuin ACE:n estäjä enalapriililla, joista yhdessä, vaikeasta hypertensiosta kärsiviä potilaita seuranneessa tutkimuksessa todettiin eprosartaanilla enalapriiliin nähden tilastollisesti merkitsevästi suurempi lasku seisten ja maaten mitatussa systolisessa verenpaineessa.</w:t>
      </w:r>
    </w:p>
    <w:p w14:paraId="59045A6B" w14:textId="77777777" w:rsidR="00D523C8" w:rsidRDefault="00D523C8" w:rsidP="00755255">
      <w:pPr>
        <w:tabs>
          <w:tab w:val="clear" w:pos="567"/>
        </w:tabs>
        <w:rPr>
          <w:szCs w:val="22"/>
        </w:rPr>
      </w:pPr>
    </w:p>
    <w:p w14:paraId="170D996F" w14:textId="77777777" w:rsidR="00F81406" w:rsidRPr="00F81406" w:rsidRDefault="00F81406" w:rsidP="00F81406">
      <w:pPr>
        <w:tabs>
          <w:tab w:val="clear" w:pos="567"/>
        </w:tabs>
        <w:rPr>
          <w:szCs w:val="22"/>
        </w:rPr>
      </w:pPr>
      <w:r w:rsidRPr="00F81406">
        <w:rPr>
          <w:szCs w:val="22"/>
        </w:rPr>
        <w:t>Kahdessa suuressa satunnaistetussa, kontrolloidussa tutkimuksessa (ONTARGET [ONgoing Telmisartan Alone and in combination with Ramipril Global Endpoint Trial] ja VA NEPHRON-D [The Veterans Affairs Nephropathy in Diabetes]) tutkittiin ACE:n estäjän ja angiotensiini II -reseptorin salpaajan samanaikaista käyttöä.</w:t>
      </w:r>
    </w:p>
    <w:p w14:paraId="7FC3F3A3" w14:textId="77777777" w:rsidR="00F81406" w:rsidRPr="00F81406" w:rsidRDefault="00F81406" w:rsidP="00F81406">
      <w:pPr>
        <w:tabs>
          <w:tab w:val="clear" w:pos="567"/>
        </w:tabs>
        <w:rPr>
          <w:szCs w:val="22"/>
        </w:rPr>
      </w:pPr>
      <w:r w:rsidRPr="00F81406">
        <w:rPr>
          <w:szCs w:val="22"/>
        </w:rPr>
        <w:t>ONTARGET-tutkimuksessa potilailla oli aiemmin ollut kardiovaskulaarisia tai serebrovaskulaarisia sairauksia tai tyypin 2 diabetes sekä esiintyi merkkejä kohde-elinvauriosta. VA NEPHRON-D -tutkimuksessa potilailla oli tyypin 2 diabetes ja diabeettinen nefropatia.</w:t>
      </w:r>
    </w:p>
    <w:p w14:paraId="1B66BCE3" w14:textId="77777777" w:rsidR="00F81406" w:rsidRPr="00F81406" w:rsidRDefault="00F81406" w:rsidP="00F81406">
      <w:pPr>
        <w:tabs>
          <w:tab w:val="clear" w:pos="567"/>
        </w:tabs>
        <w:rPr>
          <w:szCs w:val="22"/>
        </w:rPr>
      </w:pPr>
      <w:r w:rsidRPr="00F81406">
        <w:rPr>
          <w:szCs w:val="22"/>
        </w:rPr>
        <w:t>Nämä tutkimukset eivät osoittaneet merkittävää suotuisaa vaikutusta renaalisiin tai kardiovaskulaarisiin lopputapahtumiin ja kuolleisuuteen, mutta hyperkalemian, akuutin munuaisvaurion ja/tai hypotension riskin havaittiin kasvavan verrattuna monoterapiaan.</w:t>
      </w:r>
    </w:p>
    <w:p w14:paraId="4F690FEE" w14:textId="77777777" w:rsidR="00F81406" w:rsidRPr="00F81406" w:rsidRDefault="00F81406" w:rsidP="00F81406">
      <w:pPr>
        <w:tabs>
          <w:tab w:val="clear" w:pos="567"/>
        </w:tabs>
        <w:rPr>
          <w:szCs w:val="22"/>
        </w:rPr>
      </w:pPr>
      <w:r w:rsidRPr="00F81406">
        <w:rPr>
          <w:szCs w:val="22"/>
        </w:rPr>
        <w:t>Nämä tulokset soveltuvat myös muihin ACE:n estäjiin ja angiotensiini II -reseptorin salpaajiin, ottaen huomioon niiden samankaltaiset farmakodynaamiset ominaisuudet.</w:t>
      </w:r>
    </w:p>
    <w:p w14:paraId="0C94F189" w14:textId="77777777" w:rsidR="00F81406" w:rsidRPr="00F81406" w:rsidRDefault="00F81406" w:rsidP="00F81406">
      <w:pPr>
        <w:tabs>
          <w:tab w:val="clear" w:pos="567"/>
        </w:tabs>
        <w:rPr>
          <w:szCs w:val="22"/>
        </w:rPr>
      </w:pPr>
      <w:r w:rsidRPr="00F81406">
        <w:rPr>
          <w:szCs w:val="22"/>
        </w:rPr>
        <w:t>Sen vuoksi potilaiden, joilla on diabeettinen nefropatia, ei pidä käyttää ACE:n estäjiä ja angiotensiini II -reseptorin salpaajia samanaikaisesti.</w:t>
      </w:r>
    </w:p>
    <w:p w14:paraId="4902C09A" w14:textId="77777777" w:rsidR="00F81406" w:rsidRDefault="00F81406" w:rsidP="00F81406">
      <w:pPr>
        <w:tabs>
          <w:tab w:val="clear" w:pos="567"/>
        </w:tabs>
        <w:rPr>
          <w:szCs w:val="22"/>
        </w:rPr>
      </w:pPr>
      <w:r w:rsidRPr="00F81406">
        <w:rPr>
          <w:szCs w:val="22"/>
        </w:rPr>
        <w:t>ALTITUDE (Aliskiren Trial in Type 2 Diabetes Using Cardiovascular and Renal Disease Endpoints) -tutkimuksessa testattiin saavutettavaa hyötyä aliskireenin lisäämisestä vakiohoitoon, jossa käytetään ACE:n estäjää tai angiotensiini II -reseptorin salpaajaa potilaille, joilla on sekä tyypin 2 diabetes että krooninen munuaissairaus, kardiovaskulaarinen sairaus, tai molemmat. Tutkimus päätettiin aikaisin haittavaikutusten lisääntyneen riskin vuoksi. Kardiovaskulaariset kuolemat ja aivohalvaukset olivat lukumääräisesti yleisempiä aliskireeniryhmässä kuin lumelääkeryhmässä ja haittavaikutuksia sekä vakavia haittavaikutuksia (hyperkalemia, hypotensio ja munuaisten vajaatoiminta) raportoitiin useammin aliskireeniryhmässä kuin lumelääkeryhmässä.</w:t>
      </w:r>
    </w:p>
    <w:p w14:paraId="09A3B7C1" w14:textId="77777777" w:rsidR="00F81406" w:rsidRPr="00924EB7" w:rsidRDefault="00F81406" w:rsidP="00755255">
      <w:pPr>
        <w:tabs>
          <w:tab w:val="clear" w:pos="567"/>
        </w:tabs>
        <w:rPr>
          <w:szCs w:val="22"/>
        </w:rPr>
      </w:pPr>
    </w:p>
    <w:p w14:paraId="68CD187D" w14:textId="77777777" w:rsidR="00842EBE" w:rsidRPr="00924EB7" w:rsidRDefault="00842EBE" w:rsidP="0027385B">
      <w:pPr>
        <w:pStyle w:val="Heading2"/>
      </w:pPr>
      <w:proofErr w:type="spellStart"/>
      <w:r w:rsidRPr="00924EB7">
        <w:t>Farmakokinetiikka</w:t>
      </w:r>
      <w:proofErr w:type="spellEnd"/>
    </w:p>
    <w:p w14:paraId="1F316827" w14:textId="77777777" w:rsidR="00D523C8" w:rsidRDefault="00D523C8" w:rsidP="00372A5A">
      <w:pPr>
        <w:suppressAutoHyphens/>
        <w:rPr>
          <w:color w:val="000000"/>
          <w:szCs w:val="22"/>
        </w:rPr>
      </w:pPr>
    </w:p>
    <w:p w14:paraId="4575537E" w14:textId="77777777" w:rsidR="00A67877" w:rsidRPr="00924EB7" w:rsidRDefault="00A67877" w:rsidP="00372A5A">
      <w:pPr>
        <w:suppressAutoHyphens/>
        <w:rPr>
          <w:color w:val="000000"/>
          <w:szCs w:val="22"/>
        </w:rPr>
      </w:pPr>
      <w:r w:rsidRPr="00924EB7">
        <w:rPr>
          <w:color w:val="000000"/>
          <w:szCs w:val="22"/>
        </w:rPr>
        <w:t xml:space="preserve">Eprosartaanin absoluuttinen hyötyosuus 300 mg:n oraalisen kerta-annoksen jälkeen on noin 13 % johtuen vähäisestä absorptiosta ruuansulatuskanavasta. Eprosartaanin huippupitoisuus plasmassa saavutetaan 1–2 tunnin kuluttua tyhjään mahaan otetun annoksen jälkeen. Pitoisuudet plasmassa </w:t>
      </w:r>
      <w:r>
        <w:rPr>
          <w:color w:val="000000"/>
          <w:szCs w:val="22"/>
        </w:rPr>
        <w:t xml:space="preserve">nousevat </w:t>
      </w:r>
      <w:r w:rsidRPr="00924EB7">
        <w:rPr>
          <w:color w:val="000000"/>
          <w:szCs w:val="22"/>
        </w:rPr>
        <w:t>annoksesta riippuvais</w:t>
      </w:r>
      <w:r>
        <w:rPr>
          <w:color w:val="000000"/>
          <w:szCs w:val="22"/>
        </w:rPr>
        <w:t>ella tavalla</w:t>
      </w:r>
      <w:r w:rsidRPr="00924EB7">
        <w:rPr>
          <w:color w:val="000000"/>
          <w:szCs w:val="22"/>
        </w:rPr>
        <w:t xml:space="preserve"> 100 </w:t>
      </w:r>
      <w:r>
        <w:rPr>
          <w:color w:val="000000"/>
          <w:szCs w:val="22"/>
        </w:rPr>
        <w:t>-</w:t>
      </w:r>
      <w:r w:rsidRPr="00924EB7">
        <w:rPr>
          <w:color w:val="000000"/>
          <w:szCs w:val="22"/>
        </w:rPr>
        <w:t>200 mg:n</w:t>
      </w:r>
      <w:r>
        <w:rPr>
          <w:color w:val="000000"/>
          <w:szCs w:val="22"/>
        </w:rPr>
        <w:t xml:space="preserve"> annoksilla</w:t>
      </w:r>
      <w:r w:rsidRPr="00924EB7">
        <w:rPr>
          <w:color w:val="000000"/>
          <w:szCs w:val="22"/>
        </w:rPr>
        <w:t xml:space="preserve">, mutta vähemmän </w:t>
      </w:r>
      <w:r>
        <w:rPr>
          <w:color w:val="000000"/>
          <w:szCs w:val="22"/>
        </w:rPr>
        <w:t xml:space="preserve">kuin annosriippuvaisesti </w:t>
      </w:r>
      <w:r w:rsidRPr="00924EB7">
        <w:rPr>
          <w:color w:val="000000"/>
          <w:szCs w:val="22"/>
        </w:rPr>
        <w:t>400 ja 800 mg:n annoksilla. Eliminaation puoliintumisaika oraalisen eprosartaaniannoksen jälkeen on tyypillisesti 5–9 tuntia. Eprosartaani ei kumuloidu merkittävästi jatkuvassa käytössä. Samanaikainen ruoan nauttiminen hidastaa imeytymistä ja aiheuttaa C</w:t>
      </w:r>
      <w:r w:rsidRPr="00924EB7">
        <w:rPr>
          <w:color w:val="000000"/>
          <w:szCs w:val="22"/>
          <w:vertAlign w:val="subscript"/>
        </w:rPr>
        <w:t>max</w:t>
      </w:r>
      <w:r w:rsidRPr="00924EB7">
        <w:rPr>
          <w:color w:val="000000"/>
          <w:szCs w:val="22"/>
        </w:rPr>
        <w:t>- ja AUC-arvoissa vähäisiä (&lt; 25 %) muutoksia, joilla ei kuitenkaan ole kliinistä merkitystä.</w:t>
      </w:r>
    </w:p>
    <w:p w14:paraId="4110F2DF" w14:textId="77777777" w:rsidR="00842EBE" w:rsidRPr="00924EB7" w:rsidRDefault="00842EBE" w:rsidP="00372A5A">
      <w:pPr>
        <w:suppressAutoHyphens/>
        <w:rPr>
          <w:color w:val="000000"/>
          <w:szCs w:val="22"/>
        </w:rPr>
      </w:pPr>
    </w:p>
    <w:p w14:paraId="424236A5" w14:textId="77777777" w:rsidR="00842EBE" w:rsidRPr="00924EB7" w:rsidRDefault="00842EBE" w:rsidP="00372A5A">
      <w:pPr>
        <w:suppressAutoHyphens/>
        <w:rPr>
          <w:strike/>
          <w:color w:val="000000"/>
          <w:szCs w:val="22"/>
        </w:rPr>
      </w:pPr>
      <w:r w:rsidRPr="00924EB7">
        <w:rPr>
          <w:color w:val="000000"/>
          <w:szCs w:val="22"/>
        </w:rPr>
        <w:t xml:space="preserve">Eprosartaanin plasman proteiiniinsitoutumisaste on korkea (noin 98 %) ja vakio terapeuttisilla annoksilla saavutettavalla pitoisuusalueella. Proteiiniin sitoutumiseen eivät vaikuta sukupuoli, ikä, </w:t>
      </w:r>
      <w:r w:rsidRPr="00924EB7">
        <w:rPr>
          <w:color w:val="000000"/>
          <w:szCs w:val="22"/>
        </w:rPr>
        <w:lastRenderedPageBreak/>
        <w:t>maksan vajaatoiminta eikä lievä tai keskivaikea munuaisten vajaatoiminta, mutta sen on osoitettu vähenevän pienellä joukolla potilaita, joilla on vaikea munuaisten vajaatoiminta.</w:t>
      </w:r>
    </w:p>
    <w:p w14:paraId="0137256C" w14:textId="77777777" w:rsidR="00842EBE" w:rsidRPr="00924EB7" w:rsidRDefault="00842EBE" w:rsidP="001D6F63">
      <w:pPr>
        <w:suppressAutoHyphens/>
        <w:rPr>
          <w:color w:val="000000"/>
          <w:szCs w:val="22"/>
        </w:rPr>
      </w:pPr>
    </w:p>
    <w:p w14:paraId="3BA34CAB" w14:textId="77777777" w:rsidR="00842EBE" w:rsidRPr="00924EB7" w:rsidRDefault="00842EBE" w:rsidP="001D6F63">
      <w:pPr>
        <w:suppressAutoHyphens/>
        <w:rPr>
          <w:color w:val="000000"/>
          <w:szCs w:val="22"/>
        </w:rPr>
      </w:pPr>
      <w:r w:rsidRPr="00924EB7">
        <w:rPr>
          <w:color w:val="000000"/>
          <w:szCs w:val="22"/>
        </w:rPr>
        <w:t>Laskimonsisäisen [</w:t>
      </w:r>
      <w:r w:rsidRPr="00924EB7">
        <w:rPr>
          <w:color w:val="000000"/>
          <w:szCs w:val="22"/>
          <w:vertAlign w:val="superscript"/>
        </w:rPr>
        <w:t>14</w:t>
      </w:r>
      <w:r w:rsidRPr="00924EB7">
        <w:rPr>
          <w:color w:val="000000"/>
          <w:szCs w:val="22"/>
        </w:rPr>
        <w:t>C]-merkityn eprosartaanin antamisen jälkeen noin 61 % radioaktiivisuudesta erittyy ulosteeseen ja 37 % virtsaan. Oraalisen [</w:t>
      </w:r>
      <w:r w:rsidRPr="00924EB7">
        <w:rPr>
          <w:color w:val="000000"/>
          <w:szCs w:val="22"/>
          <w:vertAlign w:val="superscript"/>
        </w:rPr>
        <w:t>14</w:t>
      </w:r>
      <w:r w:rsidRPr="00924EB7">
        <w:rPr>
          <w:color w:val="000000"/>
          <w:szCs w:val="22"/>
        </w:rPr>
        <w:t>C]-eprosartaanin radioaktiivisuudesta noin 90 % erittyi ulosteeseen ja noin 7 % virtsaan.</w:t>
      </w:r>
    </w:p>
    <w:p w14:paraId="02C10AF3" w14:textId="77777777" w:rsidR="00842EBE" w:rsidRPr="00924EB7" w:rsidRDefault="00842EBE" w:rsidP="001D6F63">
      <w:pPr>
        <w:suppressAutoHyphens/>
        <w:rPr>
          <w:color w:val="000000"/>
          <w:szCs w:val="22"/>
        </w:rPr>
      </w:pPr>
    </w:p>
    <w:p w14:paraId="42CDCE84" w14:textId="77777777" w:rsidR="00A67877" w:rsidRPr="00924EB7" w:rsidRDefault="00A67877" w:rsidP="001D6F63">
      <w:pPr>
        <w:suppressAutoHyphens/>
        <w:rPr>
          <w:color w:val="000000"/>
          <w:szCs w:val="22"/>
        </w:rPr>
      </w:pPr>
      <w:r w:rsidRPr="00924EB7">
        <w:rPr>
          <w:color w:val="000000"/>
          <w:szCs w:val="22"/>
        </w:rPr>
        <w:t>Annettaessa [</w:t>
      </w:r>
      <w:r w:rsidRPr="00924EB7">
        <w:rPr>
          <w:color w:val="000000"/>
          <w:szCs w:val="22"/>
          <w:vertAlign w:val="superscript"/>
        </w:rPr>
        <w:t>14</w:t>
      </w:r>
      <w:r w:rsidRPr="00924EB7">
        <w:rPr>
          <w:color w:val="000000"/>
          <w:szCs w:val="22"/>
        </w:rPr>
        <w:t xml:space="preserve">C]-eprosartaania oraalisesti ja laskimoon vapaaehtoisille koehenkilöille eprosartaani oli ainoa lääkkeellinen aine, jota löydettiin plasmasta ja ulosteesta. Virtsaan radioaktiivisuudesta erittyi </w:t>
      </w:r>
      <w:r w:rsidRPr="00E23D6F">
        <w:rPr>
          <w:color w:val="000000"/>
          <w:szCs w:val="22"/>
        </w:rPr>
        <w:t xml:space="preserve">eprosartaanin </w:t>
      </w:r>
      <w:r w:rsidRPr="00924EB7">
        <w:rPr>
          <w:color w:val="000000"/>
          <w:szCs w:val="22"/>
        </w:rPr>
        <w:t>asyyliglukuronidina noin 20 % ja loput 80 % muuttumattomana eprosartaanina.</w:t>
      </w:r>
    </w:p>
    <w:p w14:paraId="6C78674F" w14:textId="77777777" w:rsidR="00A67877" w:rsidRPr="00924EB7" w:rsidRDefault="00A67877" w:rsidP="001D6F63">
      <w:pPr>
        <w:suppressAutoHyphens/>
        <w:rPr>
          <w:color w:val="000000"/>
          <w:szCs w:val="22"/>
        </w:rPr>
      </w:pPr>
    </w:p>
    <w:p w14:paraId="62202BDF" w14:textId="77777777" w:rsidR="00A67877" w:rsidRPr="00924EB7" w:rsidRDefault="00A67877" w:rsidP="001D6F63">
      <w:pPr>
        <w:suppressAutoHyphens/>
        <w:rPr>
          <w:color w:val="000000"/>
          <w:szCs w:val="22"/>
        </w:rPr>
      </w:pPr>
      <w:r w:rsidRPr="00924EB7">
        <w:rPr>
          <w:color w:val="000000"/>
          <w:szCs w:val="22"/>
        </w:rPr>
        <w:t>Eprosartaanin jakautumistilavuus on noin 13 litraa. Kokonaisplasmapuhdistuma on noin 130 ml/min. Eprosartaani erittyy sappeen ja munuaisten kautta.</w:t>
      </w:r>
    </w:p>
    <w:p w14:paraId="073FF2B1" w14:textId="77777777" w:rsidR="00A67877" w:rsidRPr="00924EB7" w:rsidRDefault="00A67877" w:rsidP="001D6F63">
      <w:pPr>
        <w:suppressAutoHyphens/>
        <w:rPr>
          <w:color w:val="000000"/>
          <w:szCs w:val="22"/>
        </w:rPr>
      </w:pPr>
    </w:p>
    <w:p w14:paraId="3B4E1A43" w14:textId="77777777" w:rsidR="00A67877" w:rsidRPr="00924EB7" w:rsidRDefault="00A67877" w:rsidP="001D6F63">
      <w:pPr>
        <w:suppressAutoHyphens/>
        <w:rPr>
          <w:color w:val="000000"/>
          <w:szCs w:val="22"/>
        </w:rPr>
      </w:pPr>
      <w:r w:rsidRPr="00924EB7">
        <w:rPr>
          <w:color w:val="000000"/>
          <w:szCs w:val="22"/>
        </w:rPr>
        <w:t>Iäkkäiden potilaiden elimistössä eprosartaanin pitoisuudet ovat suuremmat (AUC- ja C</w:t>
      </w:r>
      <w:r w:rsidRPr="00924EB7">
        <w:rPr>
          <w:color w:val="000000"/>
          <w:szCs w:val="22"/>
          <w:vertAlign w:val="subscript"/>
        </w:rPr>
        <w:t>max</w:t>
      </w:r>
      <w:r w:rsidRPr="00924EB7">
        <w:rPr>
          <w:color w:val="000000"/>
          <w:szCs w:val="22"/>
        </w:rPr>
        <w:t>-arvot ovat keskimäärin kaksinkertaiset) verrattuna nuoriin, mutta tämä ei vaadi annoksen muuttamista.</w:t>
      </w:r>
    </w:p>
    <w:p w14:paraId="3E524B64" w14:textId="77777777" w:rsidR="00A67877" w:rsidRPr="00924EB7" w:rsidRDefault="00A67877" w:rsidP="001D6F63">
      <w:pPr>
        <w:suppressAutoHyphens/>
        <w:rPr>
          <w:color w:val="000000"/>
          <w:szCs w:val="22"/>
        </w:rPr>
      </w:pPr>
    </w:p>
    <w:p w14:paraId="76230701" w14:textId="77777777" w:rsidR="00A67877" w:rsidRPr="00924EB7" w:rsidRDefault="00A67877" w:rsidP="001D6F63">
      <w:pPr>
        <w:suppressAutoHyphens/>
        <w:rPr>
          <w:color w:val="000000"/>
          <w:szCs w:val="22"/>
        </w:rPr>
      </w:pPr>
      <w:r w:rsidRPr="00924EB7">
        <w:rPr>
          <w:color w:val="000000"/>
          <w:szCs w:val="22"/>
        </w:rPr>
        <w:t>Annettaessa 100 mg eprosartaania kerta-annoksena potilaille, joilla on maksan vajaatoiminta,</w:t>
      </w:r>
      <w:r>
        <w:rPr>
          <w:color w:val="000000"/>
          <w:szCs w:val="22"/>
        </w:rPr>
        <w:t xml:space="preserve"> </w:t>
      </w:r>
      <w:r w:rsidRPr="00924EB7">
        <w:rPr>
          <w:color w:val="000000"/>
          <w:szCs w:val="22"/>
        </w:rPr>
        <w:t>AUC-arvot (mutta ei C</w:t>
      </w:r>
      <w:r w:rsidRPr="00924EB7">
        <w:rPr>
          <w:color w:val="000000"/>
          <w:szCs w:val="22"/>
          <w:vertAlign w:val="subscript"/>
        </w:rPr>
        <w:t>max</w:t>
      </w:r>
      <w:r w:rsidRPr="00924EB7">
        <w:rPr>
          <w:color w:val="000000"/>
          <w:szCs w:val="22"/>
        </w:rPr>
        <w:t xml:space="preserve">) </w:t>
      </w:r>
      <w:r>
        <w:rPr>
          <w:color w:val="000000"/>
          <w:szCs w:val="22"/>
        </w:rPr>
        <w:t xml:space="preserve">suurenevat </w:t>
      </w:r>
      <w:r w:rsidRPr="00924EB7">
        <w:rPr>
          <w:color w:val="000000"/>
          <w:szCs w:val="22"/>
        </w:rPr>
        <w:t>keskimäärin noin 40 %</w:t>
      </w:r>
      <w:r>
        <w:rPr>
          <w:color w:val="000000"/>
          <w:szCs w:val="22"/>
        </w:rPr>
        <w:t>.</w:t>
      </w:r>
    </w:p>
    <w:p w14:paraId="38D09CBC" w14:textId="77777777" w:rsidR="00A67877" w:rsidRPr="00924EB7" w:rsidRDefault="00A67877" w:rsidP="001D6F63">
      <w:pPr>
        <w:suppressAutoHyphens/>
        <w:rPr>
          <w:color w:val="000000"/>
          <w:szCs w:val="22"/>
        </w:rPr>
      </w:pPr>
    </w:p>
    <w:p w14:paraId="3619BD60" w14:textId="77777777" w:rsidR="00842EBE" w:rsidRDefault="00A67877" w:rsidP="001D6F63">
      <w:pPr>
        <w:suppressAutoHyphens/>
        <w:rPr>
          <w:color w:val="000000"/>
          <w:szCs w:val="22"/>
        </w:rPr>
      </w:pPr>
      <w:r w:rsidRPr="00924EB7">
        <w:rPr>
          <w:color w:val="000000"/>
          <w:szCs w:val="22"/>
        </w:rPr>
        <w:t>Verrattuna munuaistoimin</w:t>
      </w:r>
      <w:r>
        <w:rPr>
          <w:color w:val="000000"/>
          <w:szCs w:val="22"/>
        </w:rPr>
        <w:t xml:space="preserve">naltaan </w:t>
      </w:r>
      <w:r w:rsidRPr="00924EB7">
        <w:rPr>
          <w:color w:val="000000"/>
          <w:szCs w:val="22"/>
        </w:rPr>
        <w:t>normaal</w:t>
      </w:r>
      <w:r>
        <w:rPr>
          <w:color w:val="000000"/>
          <w:szCs w:val="22"/>
        </w:rPr>
        <w:t>eihin koehenkilöihin</w:t>
      </w:r>
      <w:r w:rsidRPr="00924EB7">
        <w:rPr>
          <w:color w:val="000000"/>
          <w:szCs w:val="22"/>
        </w:rPr>
        <w:t>, AUC- ja C</w:t>
      </w:r>
      <w:r w:rsidRPr="00924EB7">
        <w:rPr>
          <w:color w:val="000000"/>
          <w:szCs w:val="22"/>
          <w:vertAlign w:val="subscript"/>
        </w:rPr>
        <w:t>max</w:t>
      </w:r>
      <w:r w:rsidRPr="00924EB7">
        <w:rPr>
          <w:color w:val="000000"/>
          <w:szCs w:val="22"/>
        </w:rPr>
        <w:t xml:space="preserve">-arvot </w:t>
      </w:r>
      <w:r>
        <w:rPr>
          <w:color w:val="000000"/>
          <w:szCs w:val="22"/>
        </w:rPr>
        <w:t xml:space="preserve">olivat </w:t>
      </w:r>
      <w:r w:rsidRPr="00924EB7">
        <w:rPr>
          <w:color w:val="000000"/>
          <w:szCs w:val="22"/>
        </w:rPr>
        <w:t>noin 30 % suuremmat potilai</w:t>
      </w:r>
      <w:r>
        <w:rPr>
          <w:color w:val="000000"/>
          <w:szCs w:val="22"/>
        </w:rPr>
        <w:t>lla</w:t>
      </w:r>
      <w:r w:rsidRPr="00924EB7">
        <w:rPr>
          <w:color w:val="000000"/>
          <w:szCs w:val="22"/>
        </w:rPr>
        <w:t xml:space="preserve">, joilla oli kohtalainen munuaisten vajaatoiminta (kreatiniinipuhdistuma 30–59 ml/min), ja noin 50 % suuremmat </w:t>
      </w:r>
      <w:r>
        <w:rPr>
          <w:color w:val="000000"/>
          <w:szCs w:val="22"/>
        </w:rPr>
        <w:t xml:space="preserve">pienellä joukolla </w:t>
      </w:r>
      <w:r w:rsidRPr="00924EB7">
        <w:rPr>
          <w:color w:val="000000"/>
          <w:szCs w:val="22"/>
        </w:rPr>
        <w:t xml:space="preserve">potilaita, joilla oli vaikea munuaisten vajaatoiminta (kreatiniinipuhdistuma 5–29 ml/min) </w:t>
      </w:r>
      <w:r>
        <w:rPr>
          <w:color w:val="000000"/>
          <w:szCs w:val="22"/>
        </w:rPr>
        <w:t>sekä</w:t>
      </w:r>
      <w:r w:rsidRPr="00924EB7">
        <w:rPr>
          <w:color w:val="000000"/>
          <w:szCs w:val="22"/>
        </w:rPr>
        <w:t xml:space="preserve"> noin 60 % suuremmat potilai</w:t>
      </w:r>
      <w:r>
        <w:rPr>
          <w:color w:val="000000"/>
          <w:szCs w:val="22"/>
        </w:rPr>
        <w:t>ll</w:t>
      </w:r>
      <w:r w:rsidRPr="00924EB7">
        <w:rPr>
          <w:color w:val="000000"/>
          <w:szCs w:val="22"/>
        </w:rPr>
        <w:t>a, jotka saivat dialyysihoitoa.</w:t>
      </w:r>
    </w:p>
    <w:p w14:paraId="1482E6FE" w14:textId="77777777" w:rsidR="00A67877" w:rsidRPr="00924EB7" w:rsidRDefault="00A67877" w:rsidP="001D6F63">
      <w:pPr>
        <w:suppressAutoHyphens/>
        <w:rPr>
          <w:color w:val="000000"/>
          <w:szCs w:val="22"/>
        </w:rPr>
      </w:pPr>
    </w:p>
    <w:p w14:paraId="7CE44CF3" w14:textId="77777777" w:rsidR="00842EBE" w:rsidRDefault="00842EBE" w:rsidP="00D523C8">
      <w:pPr>
        <w:tabs>
          <w:tab w:val="clear" w:pos="567"/>
        </w:tabs>
        <w:rPr>
          <w:color w:val="000000"/>
          <w:szCs w:val="22"/>
        </w:rPr>
      </w:pPr>
      <w:r w:rsidRPr="00924EB7">
        <w:rPr>
          <w:color w:val="000000"/>
          <w:szCs w:val="22"/>
        </w:rPr>
        <w:t>Miesten ja naisten välillä ei ole eroa eprosartaanin farmakokinetiikassa.</w:t>
      </w:r>
    </w:p>
    <w:p w14:paraId="5D690CB2" w14:textId="77777777" w:rsidR="00D523C8" w:rsidRPr="00924EB7" w:rsidRDefault="00D523C8" w:rsidP="00D523C8">
      <w:pPr>
        <w:tabs>
          <w:tab w:val="clear" w:pos="567"/>
        </w:tabs>
        <w:rPr>
          <w:szCs w:val="22"/>
        </w:rPr>
      </w:pPr>
    </w:p>
    <w:p w14:paraId="221903C6" w14:textId="77777777" w:rsidR="00842EBE" w:rsidRPr="00924EB7" w:rsidRDefault="00842EBE" w:rsidP="0027385B">
      <w:pPr>
        <w:pStyle w:val="Heading2"/>
      </w:pPr>
      <w:proofErr w:type="spellStart"/>
      <w:r w:rsidRPr="00924EB7">
        <w:t>Prekliiniset</w:t>
      </w:r>
      <w:proofErr w:type="spellEnd"/>
      <w:r w:rsidRPr="00924EB7">
        <w:t xml:space="preserve"> </w:t>
      </w:r>
      <w:proofErr w:type="spellStart"/>
      <w:r w:rsidRPr="00924EB7">
        <w:t>tiedot</w:t>
      </w:r>
      <w:proofErr w:type="spellEnd"/>
      <w:r w:rsidRPr="00924EB7">
        <w:t xml:space="preserve"> </w:t>
      </w:r>
      <w:proofErr w:type="spellStart"/>
      <w:r w:rsidRPr="00924EB7">
        <w:t>turvallisuudesta</w:t>
      </w:r>
      <w:proofErr w:type="spellEnd"/>
    </w:p>
    <w:p w14:paraId="34B2871E" w14:textId="77777777" w:rsidR="00D523C8" w:rsidRDefault="00D523C8">
      <w:pPr>
        <w:suppressAutoHyphens/>
        <w:rPr>
          <w:color w:val="000000"/>
          <w:szCs w:val="22"/>
          <w:u w:val="single"/>
        </w:rPr>
      </w:pPr>
    </w:p>
    <w:p w14:paraId="3FF6489D" w14:textId="77777777" w:rsidR="00842EBE" w:rsidRPr="00ED54E5" w:rsidRDefault="00842EBE" w:rsidP="00372A5A">
      <w:pPr>
        <w:suppressAutoHyphens/>
        <w:rPr>
          <w:i/>
          <w:iCs/>
          <w:color w:val="000000"/>
          <w:szCs w:val="22"/>
        </w:rPr>
      </w:pPr>
      <w:r w:rsidRPr="00ED54E5">
        <w:rPr>
          <w:i/>
          <w:iCs/>
          <w:color w:val="000000"/>
          <w:szCs w:val="22"/>
        </w:rPr>
        <w:t>a) Akuutti toksisuus</w:t>
      </w:r>
    </w:p>
    <w:p w14:paraId="664C8A25" w14:textId="77777777" w:rsidR="00842EBE" w:rsidRPr="00924EB7" w:rsidRDefault="00842EBE" w:rsidP="00372A5A">
      <w:pPr>
        <w:suppressAutoHyphens/>
        <w:rPr>
          <w:color w:val="000000"/>
          <w:szCs w:val="22"/>
        </w:rPr>
      </w:pPr>
      <w:r w:rsidRPr="00924EB7">
        <w:rPr>
          <w:color w:val="000000"/>
          <w:szCs w:val="22"/>
        </w:rPr>
        <w:t xml:space="preserve">Rotilla tai hiirillä ei esiintynyt kuolleisuutta korkeintaan 3000 mg/kg:n annoksilla eikä koirilla korkeintaan 1000 mg/kg:n annoksilla. </w:t>
      </w:r>
    </w:p>
    <w:p w14:paraId="215CA8DA" w14:textId="77777777" w:rsidR="00842EBE" w:rsidRPr="00924EB7" w:rsidRDefault="00842EBE" w:rsidP="00372A5A">
      <w:pPr>
        <w:suppressAutoHyphens/>
        <w:rPr>
          <w:color w:val="000000"/>
          <w:szCs w:val="22"/>
        </w:rPr>
      </w:pPr>
    </w:p>
    <w:p w14:paraId="7AC66CE3" w14:textId="77777777" w:rsidR="00842EBE" w:rsidRPr="00ED54E5" w:rsidRDefault="00842EBE" w:rsidP="00372A5A">
      <w:pPr>
        <w:suppressAutoHyphens/>
        <w:rPr>
          <w:i/>
          <w:iCs/>
          <w:color w:val="000000"/>
          <w:szCs w:val="22"/>
        </w:rPr>
      </w:pPr>
      <w:r w:rsidRPr="00ED54E5">
        <w:rPr>
          <w:i/>
          <w:iCs/>
          <w:color w:val="000000"/>
          <w:szCs w:val="22"/>
        </w:rPr>
        <w:t>b) Krooninen toksisuus</w:t>
      </w:r>
    </w:p>
    <w:p w14:paraId="294C3B6D" w14:textId="77777777" w:rsidR="00842EBE" w:rsidRPr="00924EB7" w:rsidRDefault="00842EBE" w:rsidP="009F344F">
      <w:pPr>
        <w:suppressAutoHyphens/>
        <w:rPr>
          <w:color w:val="000000"/>
          <w:szCs w:val="22"/>
        </w:rPr>
      </w:pPr>
      <w:r w:rsidRPr="00924EB7">
        <w:rPr>
          <w:color w:val="000000"/>
          <w:szCs w:val="22"/>
        </w:rPr>
        <w:t>Kroonisissa toksisuuskokeissa eprosartaani ei aiheuttanut toksisia vaikutuksia rotille (suun kautta korkeintaan 1000 mg/kg/vrk enintään 6 kuukauden ajan). Koirille eprosartaani aiheutti punasoluarvojen pienenemistä (erytrosyytit, hemoglobiini, hematokriitti) annostasolla 30 mg/kg/vrk tai enemmän annettuna suun kautta korkeintaan kuuden kuukauden ajan, mutta punasoluarvot normalisoituivat vuoden kuluttua altistuksen jatkamisesta huolimatta.</w:t>
      </w:r>
    </w:p>
    <w:p w14:paraId="6C907AEB" w14:textId="77777777" w:rsidR="002D40EE" w:rsidRPr="00924EB7" w:rsidRDefault="002D40EE" w:rsidP="00372A5A">
      <w:pPr>
        <w:suppressAutoHyphens/>
        <w:rPr>
          <w:color w:val="000000"/>
          <w:szCs w:val="22"/>
        </w:rPr>
      </w:pPr>
    </w:p>
    <w:p w14:paraId="7DC87DA8" w14:textId="77777777" w:rsidR="00842EBE" w:rsidRPr="00ED54E5" w:rsidRDefault="00842EBE" w:rsidP="00372A5A">
      <w:pPr>
        <w:suppressAutoHyphens/>
        <w:rPr>
          <w:i/>
          <w:iCs/>
          <w:color w:val="000000"/>
          <w:szCs w:val="22"/>
        </w:rPr>
      </w:pPr>
      <w:r w:rsidRPr="00ED54E5">
        <w:rPr>
          <w:i/>
          <w:iCs/>
          <w:color w:val="000000"/>
          <w:szCs w:val="22"/>
        </w:rPr>
        <w:t>c) Lisääntymis</w:t>
      </w:r>
      <w:r w:rsidR="00570D8C" w:rsidRPr="00ED54E5">
        <w:rPr>
          <w:i/>
          <w:iCs/>
          <w:color w:val="000000"/>
          <w:szCs w:val="22"/>
        </w:rPr>
        <w:t>- ja kehitys</w:t>
      </w:r>
      <w:r w:rsidRPr="00ED54E5">
        <w:rPr>
          <w:i/>
          <w:iCs/>
          <w:color w:val="000000"/>
          <w:szCs w:val="22"/>
        </w:rPr>
        <w:t>toksisuus</w:t>
      </w:r>
      <w:r w:rsidR="00570D8C" w:rsidRPr="00ED54E5">
        <w:rPr>
          <w:i/>
          <w:iCs/>
          <w:szCs w:val="22"/>
        </w:rPr>
        <w:t xml:space="preserve"> </w:t>
      </w:r>
    </w:p>
    <w:p w14:paraId="0F8992A4" w14:textId="77777777" w:rsidR="00842EBE" w:rsidRPr="00924EB7" w:rsidRDefault="00842EBE" w:rsidP="00372A5A">
      <w:pPr>
        <w:suppressAutoHyphens/>
        <w:rPr>
          <w:color w:val="000000"/>
          <w:szCs w:val="22"/>
        </w:rPr>
      </w:pPr>
      <w:r w:rsidRPr="00924EB7">
        <w:rPr>
          <w:color w:val="000000"/>
          <w:szCs w:val="22"/>
        </w:rPr>
        <w:t>Tiineille kaneille eprosartaanin on ainoastaan tiineyden loppuvaiheessa osoitettu aiheuttavan emon ja poikasten kuolevuutta annostasolla 10 mg/kg/vrk. Emoon</w:t>
      </w:r>
      <w:r w:rsidR="00C96FB9">
        <w:rPr>
          <w:color w:val="000000"/>
          <w:szCs w:val="22"/>
        </w:rPr>
        <w:t>,</w:t>
      </w:r>
      <w:r w:rsidRPr="00924EB7">
        <w:rPr>
          <w:color w:val="000000"/>
          <w:szCs w:val="22"/>
        </w:rPr>
        <w:t xml:space="preserve"> mutta ei sikiöihin</w:t>
      </w:r>
      <w:r w:rsidR="00C96FB9">
        <w:rPr>
          <w:color w:val="000000"/>
          <w:szCs w:val="22"/>
        </w:rPr>
        <w:t>,</w:t>
      </w:r>
      <w:r w:rsidRPr="00924EB7">
        <w:rPr>
          <w:color w:val="000000"/>
          <w:szCs w:val="22"/>
        </w:rPr>
        <w:t xml:space="preserve"> kohdistuvaa toksisuutta havaittiin annostasolla 3 mg/kg/vrk.</w:t>
      </w:r>
    </w:p>
    <w:p w14:paraId="2BCB53C1" w14:textId="77777777" w:rsidR="00842EBE" w:rsidRPr="00924EB7" w:rsidRDefault="00842EBE" w:rsidP="00372A5A">
      <w:pPr>
        <w:suppressAutoHyphens/>
        <w:rPr>
          <w:color w:val="000000"/>
          <w:szCs w:val="22"/>
        </w:rPr>
      </w:pPr>
    </w:p>
    <w:p w14:paraId="3258D31A" w14:textId="77777777" w:rsidR="00842EBE" w:rsidRPr="00ED54E5" w:rsidRDefault="00842EBE" w:rsidP="001D6F63">
      <w:pPr>
        <w:suppressAutoHyphens/>
        <w:rPr>
          <w:i/>
          <w:iCs/>
          <w:color w:val="000000"/>
          <w:szCs w:val="22"/>
        </w:rPr>
      </w:pPr>
      <w:r w:rsidRPr="00ED54E5">
        <w:rPr>
          <w:i/>
          <w:iCs/>
          <w:color w:val="000000"/>
          <w:szCs w:val="22"/>
        </w:rPr>
        <w:t>d) Genotoksisuus</w:t>
      </w:r>
    </w:p>
    <w:p w14:paraId="14A76AEF" w14:textId="77777777" w:rsidR="00842EBE" w:rsidRPr="00924EB7" w:rsidRDefault="00842EBE" w:rsidP="001D6F63">
      <w:pPr>
        <w:suppressAutoHyphens/>
        <w:rPr>
          <w:color w:val="000000"/>
          <w:szCs w:val="22"/>
        </w:rPr>
      </w:pPr>
      <w:r w:rsidRPr="00924EB7">
        <w:rPr>
          <w:color w:val="000000"/>
          <w:szCs w:val="22"/>
        </w:rPr>
        <w:t xml:space="preserve">Genotoksisuutta ei havaittu </w:t>
      </w:r>
      <w:r w:rsidRPr="00924EB7">
        <w:rPr>
          <w:i/>
          <w:color w:val="000000"/>
          <w:szCs w:val="22"/>
        </w:rPr>
        <w:t>in vitro</w:t>
      </w:r>
      <w:r w:rsidRPr="00924EB7">
        <w:rPr>
          <w:color w:val="000000"/>
          <w:szCs w:val="22"/>
        </w:rPr>
        <w:t xml:space="preserve">- ja </w:t>
      </w:r>
      <w:r w:rsidRPr="00924EB7">
        <w:rPr>
          <w:i/>
          <w:color w:val="000000"/>
          <w:szCs w:val="22"/>
        </w:rPr>
        <w:t>in vivo</w:t>
      </w:r>
      <w:r w:rsidRPr="00924EB7">
        <w:rPr>
          <w:color w:val="000000"/>
          <w:szCs w:val="22"/>
        </w:rPr>
        <w:t xml:space="preserve"> -koesarjoissa.</w:t>
      </w:r>
    </w:p>
    <w:p w14:paraId="75BE082C" w14:textId="77777777" w:rsidR="00842EBE" w:rsidRPr="00924EB7" w:rsidRDefault="00842EBE" w:rsidP="001D6F63">
      <w:pPr>
        <w:suppressAutoHyphens/>
        <w:rPr>
          <w:color w:val="000000"/>
          <w:szCs w:val="22"/>
        </w:rPr>
      </w:pPr>
    </w:p>
    <w:p w14:paraId="164C666A" w14:textId="77777777" w:rsidR="00842EBE" w:rsidRPr="00ED54E5" w:rsidRDefault="00842EBE" w:rsidP="001D6F63">
      <w:pPr>
        <w:suppressAutoHyphens/>
        <w:rPr>
          <w:i/>
          <w:iCs/>
          <w:color w:val="000000"/>
          <w:szCs w:val="22"/>
        </w:rPr>
      </w:pPr>
      <w:r w:rsidRPr="00ED54E5">
        <w:rPr>
          <w:i/>
          <w:iCs/>
          <w:color w:val="000000"/>
          <w:szCs w:val="22"/>
        </w:rPr>
        <w:t>e) Karsinogeenisuus</w:t>
      </w:r>
    </w:p>
    <w:p w14:paraId="0C01AFAD" w14:textId="77777777" w:rsidR="00842EBE" w:rsidRDefault="00842EBE" w:rsidP="001D6F63">
      <w:pPr>
        <w:spacing w:line="260" w:lineRule="exact"/>
      </w:pPr>
      <w:r w:rsidRPr="00924EB7">
        <w:t>Karsinogeenisuutta ei havaittu rotilla annostasolla enintään 600</w:t>
      </w:r>
      <w:r w:rsidR="00C96FB9">
        <w:t> </w:t>
      </w:r>
      <w:r w:rsidRPr="00924EB7">
        <w:t>mg/kg/vrk ja hiirillä enintään 2000</w:t>
      </w:r>
      <w:r w:rsidR="00C96FB9">
        <w:t> </w:t>
      </w:r>
      <w:r w:rsidRPr="00924EB7">
        <w:t>mg/kg/vrk kahden vuoden ajan.</w:t>
      </w:r>
    </w:p>
    <w:p w14:paraId="37BD380B" w14:textId="77777777" w:rsidR="005456B5" w:rsidRDefault="005456B5" w:rsidP="001D6F63">
      <w:pPr>
        <w:spacing w:line="260" w:lineRule="exact"/>
      </w:pPr>
    </w:p>
    <w:p w14:paraId="711BE0AD" w14:textId="77777777" w:rsidR="00755255" w:rsidRDefault="00755255" w:rsidP="00755255">
      <w:pPr>
        <w:tabs>
          <w:tab w:val="clear" w:pos="567"/>
        </w:tabs>
        <w:rPr>
          <w:color w:val="000000"/>
          <w:szCs w:val="22"/>
        </w:rPr>
      </w:pPr>
    </w:p>
    <w:p w14:paraId="55872F27" w14:textId="77777777" w:rsidR="00755255" w:rsidRPr="00924EB7" w:rsidRDefault="00755255" w:rsidP="00755255">
      <w:pPr>
        <w:tabs>
          <w:tab w:val="clear" w:pos="567"/>
        </w:tabs>
        <w:rPr>
          <w:szCs w:val="22"/>
        </w:rPr>
      </w:pPr>
    </w:p>
    <w:p w14:paraId="3E28D0FF" w14:textId="77777777" w:rsidR="00842EBE" w:rsidRDefault="00842EBE" w:rsidP="0027385B">
      <w:pPr>
        <w:pStyle w:val="Heading1"/>
      </w:pPr>
      <w:r w:rsidRPr="00924EB7">
        <w:t>FARMASEUTTISET TIEDOT</w:t>
      </w:r>
    </w:p>
    <w:p w14:paraId="3EE69AB5" w14:textId="77777777" w:rsidR="00755255" w:rsidRPr="00755255" w:rsidRDefault="00755255" w:rsidP="001D6F63"/>
    <w:p w14:paraId="2FC9E3F4" w14:textId="77777777" w:rsidR="00842EBE" w:rsidRPr="00924EB7" w:rsidRDefault="00842EBE" w:rsidP="0027385B">
      <w:pPr>
        <w:pStyle w:val="Heading2"/>
      </w:pPr>
      <w:proofErr w:type="spellStart"/>
      <w:r w:rsidRPr="00924EB7">
        <w:lastRenderedPageBreak/>
        <w:t>Apuaineet</w:t>
      </w:r>
      <w:proofErr w:type="spellEnd"/>
    </w:p>
    <w:p w14:paraId="6F3AC514" w14:textId="77777777" w:rsidR="00755255" w:rsidRDefault="00755255">
      <w:pPr>
        <w:rPr>
          <w:szCs w:val="22"/>
          <w:u w:val="single"/>
        </w:rPr>
      </w:pPr>
    </w:p>
    <w:p w14:paraId="3CA78E5F" w14:textId="77777777" w:rsidR="00842EBE" w:rsidRPr="00924EB7" w:rsidRDefault="00842EBE" w:rsidP="00372A5A">
      <w:pPr>
        <w:rPr>
          <w:szCs w:val="22"/>
          <w:u w:val="single"/>
        </w:rPr>
      </w:pPr>
      <w:r w:rsidRPr="00924EB7">
        <w:rPr>
          <w:szCs w:val="22"/>
          <w:u w:val="single"/>
        </w:rPr>
        <w:t>Tablettiydin:</w:t>
      </w:r>
    </w:p>
    <w:p w14:paraId="030DA0F7" w14:textId="77777777" w:rsidR="00842EBE" w:rsidRPr="00924EB7" w:rsidRDefault="00842EBE" w:rsidP="00372A5A">
      <w:pPr>
        <w:rPr>
          <w:szCs w:val="22"/>
        </w:rPr>
      </w:pPr>
      <w:r w:rsidRPr="00924EB7">
        <w:rPr>
          <w:szCs w:val="22"/>
        </w:rPr>
        <w:t>Laktoosimonohydraatti</w:t>
      </w:r>
    </w:p>
    <w:p w14:paraId="3CE4DE06" w14:textId="77777777" w:rsidR="00842EBE" w:rsidRPr="00924EB7" w:rsidRDefault="00842EBE" w:rsidP="00372A5A">
      <w:pPr>
        <w:rPr>
          <w:szCs w:val="22"/>
        </w:rPr>
      </w:pPr>
      <w:r w:rsidRPr="00924EB7">
        <w:rPr>
          <w:szCs w:val="22"/>
        </w:rPr>
        <w:t>Selluloosa, mikrokiteinen</w:t>
      </w:r>
    </w:p>
    <w:p w14:paraId="33267229" w14:textId="77777777" w:rsidR="00842EBE" w:rsidRPr="00924EB7" w:rsidRDefault="00842EBE" w:rsidP="00372A5A">
      <w:pPr>
        <w:rPr>
          <w:szCs w:val="22"/>
        </w:rPr>
      </w:pPr>
      <w:r w:rsidRPr="00924EB7">
        <w:rPr>
          <w:szCs w:val="22"/>
        </w:rPr>
        <w:t>Tärkkelys, esigelatinoitu</w:t>
      </w:r>
    </w:p>
    <w:p w14:paraId="64F6618A" w14:textId="77777777" w:rsidR="00842EBE" w:rsidRPr="00924EB7" w:rsidRDefault="00842EBE" w:rsidP="00372A5A">
      <w:pPr>
        <w:rPr>
          <w:szCs w:val="22"/>
        </w:rPr>
      </w:pPr>
      <w:r w:rsidRPr="00924EB7">
        <w:rPr>
          <w:szCs w:val="22"/>
        </w:rPr>
        <w:t>Krospovidoni</w:t>
      </w:r>
    </w:p>
    <w:p w14:paraId="5B08D262" w14:textId="77777777" w:rsidR="00842EBE" w:rsidRPr="00924EB7" w:rsidRDefault="00842EBE" w:rsidP="001D6F63">
      <w:pPr>
        <w:rPr>
          <w:szCs w:val="22"/>
        </w:rPr>
      </w:pPr>
      <w:r w:rsidRPr="00924EB7">
        <w:rPr>
          <w:szCs w:val="22"/>
        </w:rPr>
        <w:t>Magnesiumstearaatti</w:t>
      </w:r>
    </w:p>
    <w:p w14:paraId="7C7BDEFA" w14:textId="77777777" w:rsidR="00842EBE" w:rsidRPr="00924EB7" w:rsidRDefault="00842EBE" w:rsidP="001D6F63">
      <w:pPr>
        <w:rPr>
          <w:szCs w:val="22"/>
        </w:rPr>
      </w:pPr>
      <w:r w:rsidRPr="00924EB7">
        <w:rPr>
          <w:szCs w:val="22"/>
        </w:rPr>
        <w:t>Puhdistettu vesi</w:t>
      </w:r>
    </w:p>
    <w:p w14:paraId="372613CF" w14:textId="77777777" w:rsidR="00842EBE" w:rsidRPr="00924EB7" w:rsidRDefault="00842EBE" w:rsidP="001D6F63">
      <w:pPr>
        <w:rPr>
          <w:szCs w:val="22"/>
        </w:rPr>
      </w:pPr>
    </w:p>
    <w:p w14:paraId="4AD2B0C2" w14:textId="77777777" w:rsidR="00842EBE" w:rsidRPr="00924EB7" w:rsidRDefault="00842EBE" w:rsidP="001D6F63">
      <w:pPr>
        <w:rPr>
          <w:szCs w:val="22"/>
          <w:u w:val="single"/>
        </w:rPr>
      </w:pPr>
      <w:r w:rsidRPr="00924EB7">
        <w:rPr>
          <w:szCs w:val="22"/>
          <w:u w:val="single"/>
        </w:rPr>
        <w:t>Kalvopäällyste:</w:t>
      </w:r>
    </w:p>
    <w:p w14:paraId="0FD3E409" w14:textId="77777777" w:rsidR="00842EBE" w:rsidRPr="00924EB7" w:rsidRDefault="00842EBE" w:rsidP="001D6F63">
      <w:pPr>
        <w:rPr>
          <w:szCs w:val="22"/>
        </w:rPr>
      </w:pPr>
      <w:r w:rsidRPr="00924EB7">
        <w:rPr>
          <w:szCs w:val="22"/>
        </w:rPr>
        <w:t>Hypromelloosi (E464)</w:t>
      </w:r>
    </w:p>
    <w:p w14:paraId="4EDFF3C7" w14:textId="77777777" w:rsidR="00842EBE" w:rsidRPr="00924EB7" w:rsidRDefault="00842EBE" w:rsidP="001D6F63">
      <w:pPr>
        <w:rPr>
          <w:szCs w:val="22"/>
        </w:rPr>
      </w:pPr>
      <w:r w:rsidRPr="00924EB7">
        <w:rPr>
          <w:szCs w:val="22"/>
        </w:rPr>
        <w:t>Titaanidioksidi (E171)</w:t>
      </w:r>
    </w:p>
    <w:p w14:paraId="0097F037" w14:textId="77777777" w:rsidR="00842EBE" w:rsidRPr="00924EB7" w:rsidRDefault="00842EBE" w:rsidP="001D6F63">
      <w:pPr>
        <w:rPr>
          <w:szCs w:val="22"/>
        </w:rPr>
      </w:pPr>
      <w:r w:rsidRPr="00924EB7">
        <w:rPr>
          <w:szCs w:val="22"/>
        </w:rPr>
        <w:t>Makrogoli 400</w:t>
      </w:r>
    </w:p>
    <w:p w14:paraId="5FE71611" w14:textId="77777777" w:rsidR="00842EBE" w:rsidRDefault="00842EBE" w:rsidP="001D6F63">
      <w:pPr>
        <w:rPr>
          <w:szCs w:val="22"/>
        </w:rPr>
      </w:pPr>
      <w:r w:rsidRPr="00924EB7">
        <w:rPr>
          <w:szCs w:val="22"/>
        </w:rPr>
        <w:t>Polysorbaatti 80 (E433)</w:t>
      </w:r>
    </w:p>
    <w:p w14:paraId="3F466AD6" w14:textId="77777777" w:rsidR="00755255" w:rsidRPr="00924EB7" w:rsidRDefault="00755255" w:rsidP="001D6F63">
      <w:pPr>
        <w:rPr>
          <w:szCs w:val="22"/>
        </w:rPr>
      </w:pPr>
    </w:p>
    <w:p w14:paraId="0B7D5ED3" w14:textId="77777777" w:rsidR="00842EBE" w:rsidRPr="00924EB7" w:rsidRDefault="00842EBE" w:rsidP="0027385B">
      <w:pPr>
        <w:pStyle w:val="Heading2"/>
      </w:pPr>
      <w:proofErr w:type="spellStart"/>
      <w:r w:rsidRPr="00924EB7">
        <w:t>Yhteensopimattomuudet</w:t>
      </w:r>
      <w:proofErr w:type="spellEnd"/>
    </w:p>
    <w:p w14:paraId="63AB7847" w14:textId="77777777" w:rsidR="00755255" w:rsidRDefault="00755255">
      <w:pPr>
        <w:tabs>
          <w:tab w:val="clear" w:pos="567"/>
        </w:tabs>
        <w:rPr>
          <w:szCs w:val="22"/>
        </w:rPr>
      </w:pPr>
    </w:p>
    <w:p w14:paraId="44321B67" w14:textId="77777777" w:rsidR="00842EBE" w:rsidRDefault="00842EBE">
      <w:pPr>
        <w:tabs>
          <w:tab w:val="clear" w:pos="567"/>
        </w:tabs>
        <w:rPr>
          <w:szCs w:val="22"/>
        </w:rPr>
      </w:pPr>
      <w:r w:rsidRPr="00924EB7">
        <w:rPr>
          <w:szCs w:val="22"/>
        </w:rPr>
        <w:t>Ei oleellinen.</w:t>
      </w:r>
    </w:p>
    <w:p w14:paraId="51520F91" w14:textId="77777777" w:rsidR="00755255" w:rsidRPr="00924EB7" w:rsidRDefault="00755255">
      <w:pPr>
        <w:tabs>
          <w:tab w:val="clear" w:pos="567"/>
        </w:tabs>
        <w:rPr>
          <w:szCs w:val="22"/>
        </w:rPr>
      </w:pPr>
    </w:p>
    <w:p w14:paraId="542BFCA6" w14:textId="77777777" w:rsidR="00842EBE" w:rsidRPr="00924EB7" w:rsidRDefault="00842EBE" w:rsidP="0027385B">
      <w:pPr>
        <w:pStyle w:val="Heading2"/>
      </w:pPr>
      <w:proofErr w:type="spellStart"/>
      <w:r w:rsidRPr="00924EB7">
        <w:t>Kestoaika</w:t>
      </w:r>
      <w:proofErr w:type="spellEnd"/>
    </w:p>
    <w:p w14:paraId="36885761" w14:textId="77777777" w:rsidR="00755255" w:rsidRDefault="00755255">
      <w:pPr>
        <w:tabs>
          <w:tab w:val="clear" w:pos="567"/>
        </w:tabs>
        <w:rPr>
          <w:szCs w:val="22"/>
        </w:rPr>
      </w:pPr>
    </w:p>
    <w:p w14:paraId="278CED5F" w14:textId="77777777" w:rsidR="00842EBE" w:rsidRDefault="00842EBE">
      <w:pPr>
        <w:tabs>
          <w:tab w:val="clear" w:pos="567"/>
        </w:tabs>
        <w:rPr>
          <w:szCs w:val="22"/>
        </w:rPr>
      </w:pPr>
      <w:r w:rsidRPr="00924EB7">
        <w:rPr>
          <w:szCs w:val="22"/>
        </w:rPr>
        <w:t>3 vuotta.</w:t>
      </w:r>
    </w:p>
    <w:p w14:paraId="647B13C6" w14:textId="77777777" w:rsidR="00755255" w:rsidRPr="00924EB7" w:rsidRDefault="00755255">
      <w:pPr>
        <w:tabs>
          <w:tab w:val="clear" w:pos="567"/>
        </w:tabs>
        <w:rPr>
          <w:szCs w:val="22"/>
        </w:rPr>
      </w:pPr>
    </w:p>
    <w:p w14:paraId="60B290F5" w14:textId="77777777" w:rsidR="00842EBE" w:rsidRPr="00924EB7" w:rsidRDefault="00842EBE" w:rsidP="0027385B">
      <w:pPr>
        <w:pStyle w:val="Heading2"/>
      </w:pPr>
      <w:proofErr w:type="spellStart"/>
      <w:r w:rsidRPr="00924EB7">
        <w:t>Säilytys</w:t>
      </w:r>
      <w:proofErr w:type="spellEnd"/>
    </w:p>
    <w:p w14:paraId="3D6FF4C6" w14:textId="77777777" w:rsidR="00755255" w:rsidRDefault="00755255">
      <w:pPr>
        <w:tabs>
          <w:tab w:val="clear" w:pos="567"/>
        </w:tabs>
        <w:rPr>
          <w:color w:val="000000"/>
          <w:szCs w:val="22"/>
        </w:rPr>
      </w:pPr>
    </w:p>
    <w:p w14:paraId="0B0E2DBE" w14:textId="77777777" w:rsidR="00842EBE" w:rsidRDefault="00842EBE">
      <w:pPr>
        <w:tabs>
          <w:tab w:val="clear" w:pos="567"/>
        </w:tabs>
        <w:rPr>
          <w:color w:val="000000"/>
          <w:szCs w:val="22"/>
        </w:rPr>
      </w:pPr>
      <w:r w:rsidRPr="00924EB7">
        <w:rPr>
          <w:color w:val="000000"/>
          <w:szCs w:val="22"/>
        </w:rPr>
        <w:t>Säilytä alle 25 °C.</w:t>
      </w:r>
    </w:p>
    <w:p w14:paraId="39FD9562" w14:textId="77777777" w:rsidR="00755255" w:rsidRPr="00924EB7" w:rsidRDefault="00755255">
      <w:pPr>
        <w:tabs>
          <w:tab w:val="clear" w:pos="567"/>
        </w:tabs>
        <w:rPr>
          <w:szCs w:val="22"/>
        </w:rPr>
      </w:pPr>
    </w:p>
    <w:p w14:paraId="5058B5C1" w14:textId="77777777" w:rsidR="00842EBE" w:rsidRPr="00924EB7" w:rsidRDefault="00842EBE" w:rsidP="0027385B">
      <w:pPr>
        <w:pStyle w:val="Heading2"/>
      </w:pPr>
      <w:proofErr w:type="spellStart"/>
      <w:r w:rsidRPr="00924EB7">
        <w:t>Pakkaustyypit</w:t>
      </w:r>
      <w:proofErr w:type="spellEnd"/>
      <w:r w:rsidRPr="00924EB7">
        <w:t xml:space="preserve"> </w:t>
      </w:r>
      <w:proofErr w:type="spellStart"/>
      <w:r w:rsidRPr="00924EB7">
        <w:t>ja</w:t>
      </w:r>
      <w:proofErr w:type="spellEnd"/>
      <w:r w:rsidRPr="00924EB7">
        <w:t xml:space="preserve"> </w:t>
      </w:r>
      <w:proofErr w:type="spellStart"/>
      <w:r w:rsidRPr="00924EB7">
        <w:t>pakkauskoot</w:t>
      </w:r>
      <w:proofErr w:type="spellEnd"/>
    </w:p>
    <w:p w14:paraId="76418F31" w14:textId="77777777" w:rsidR="00755255" w:rsidRDefault="00755255" w:rsidP="00372A5A">
      <w:pPr>
        <w:tabs>
          <w:tab w:val="clear" w:pos="567"/>
          <w:tab w:val="left" w:pos="-1440"/>
          <w:tab w:val="left" w:pos="-144"/>
        </w:tabs>
        <w:suppressAutoHyphens/>
        <w:rPr>
          <w:color w:val="000000"/>
          <w:szCs w:val="22"/>
        </w:rPr>
      </w:pPr>
    </w:p>
    <w:p w14:paraId="4C1F4216" w14:textId="77777777" w:rsidR="00842EBE" w:rsidRPr="00924EB7" w:rsidRDefault="00842EBE" w:rsidP="00372A5A">
      <w:pPr>
        <w:tabs>
          <w:tab w:val="clear" w:pos="567"/>
          <w:tab w:val="left" w:pos="-1440"/>
          <w:tab w:val="left" w:pos="-144"/>
        </w:tabs>
        <w:suppressAutoHyphens/>
        <w:rPr>
          <w:color w:val="000000"/>
          <w:szCs w:val="22"/>
        </w:rPr>
      </w:pPr>
      <w:r w:rsidRPr="00924EB7">
        <w:rPr>
          <w:color w:val="000000"/>
          <w:szCs w:val="22"/>
        </w:rPr>
        <w:t>Valkoinen PVC/PCTFE/alumiini-läpipainopakkaus</w:t>
      </w:r>
      <w:r w:rsidR="005E0C2A">
        <w:rPr>
          <w:color w:val="000000"/>
          <w:szCs w:val="22"/>
        </w:rPr>
        <w:t xml:space="preserve"> tai</w:t>
      </w:r>
      <w:r w:rsidRPr="00924EB7">
        <w:rPr>
          <w:color w:val="000000"/>
          <w:szCs w:val="22"/>
        </w:rPr>
        <w:t xml:space="preserve"> PVC/PVDC/alumiini-läpipainopakkaus.</w:t>
      </w:r>
    </w:p>
    <w:p w14:paraId="6637266C" w14:textId="77777777" w:rsidR="00842EBE" w:rsidRPr="004459A8" w:rsidRDefault="00842EBE" w:rsidP="00755255">
      <w:pPr>
        <w:tabs>
          <w:tab w:val="left" w:pos="-1440"/>
          <w:tab w:val="left" w:pos="-144"/>
          <w:tab w:val="left" w:pos="1152"/>
          <w:tab w:val="left" w:pos="2448"/>
          <w:tab w:val="left" w:pos="3744"/>
          <w:tab w:val="left" w:pos="5040"/>
          <w:tab w:val="left" w:pos="6336"/>
          <w:tab w:val="left" w:pos="7632"/>
          <w:tab w:val="left" w:pos="8928"/>
        </w:tabs>
        <w:suppressAutoHyphens/>
        <w:rPr>
          <w:color w:val="000000"/>
          <w:szCs w:val="22"/>
        </w:rPr>
      </w:pPr>
    </w:p>
    <w:p w14:paraId="6CC9F4AB" w14:textId="77777777" w:rsidR="00842EBE" w:rsidRPr="0085225C" w:rsidRDefault="00842EBE" w:rsidP="00372A5A">
      <w:pPr>
        <w:tabs>
          <w:tab w:val="clear" w:pos="567"/>
          <w:tab w:val="left" w:pos="-1440"/>
          <w:tab w:val="left" w:pos="-144"/>
        </w:tabs>
        <w:suppressAutoHyphens/>
        <w:rPr>
          <w:color w:val="000000"/>
          <w:szCs w:val="22"/>
        </w:rPr>
      </w:pPr>
      <w:r w:rsidRPr="00ED54E5">
        <w:rPr>
          <w:color w:val="000000"/>
          <w:szCs w:val="22"/>
        </w:rPr>
        <w:t>Läpipainopakkaukset</w:t>
      </w:r>
      <w:r w:rsidR="0085225C">
        <w:rPr>
          <w:color w:val="000000"/>
          <w:szCs w:val="22"/>
        </w:rPr>
        <w:t>:</w:t>
      </w:r>
    </w:p>
    <w:p w14:paraId="1ABC327E" w14:textId="77777777" w:rsidR="00842EBE" w:rsidRPr="00924EB7" w:rsidRDefault="00842EBE" w:rsidP="00372A5A">
      <w:pPr>
        <w:tabs>
          <w:tab w:val="clear" w:pos="567"/>
          <w:tab w:val="left" w:pos="-1440"/>
          <w:tab w:val="left" w:pos="-144"/>
        </w:tabs>
        <w:suppressAutoHyphens/>
        <w:rPr>
          <w:color w:val="000000"/>
          <w:szCs w:val="22"/>
        </w:rPr>
      </w:pPr>
      <w:r w:rsidRPr="00924EB7">
        <w:rPr>
          <w:color w:val="000000"/>
          <w:szCs w:val="22"/>
        </w:rPr>
        <w:t>14 kalvopäällysteistä tablettia</w:t>
      </w:r>
    </w:p>
    <w:p w14:paraId="40E9D4AE" w14:textId="77777777" w:rsidR="00842EBE" w:rsidRPr="00924EB7" w:rsidRDefault="00842EBE" w:rsidP="00372A5A">
      <w:pPr>
        <w:tabs>
          <w:tab w:val="clear" w:pos="567"/>
          <w:tab w:val="left" w:pos="-1440"/>
          <w:tab w:val="left" w:pos="-144"/>
        </w:tabs>
        <w:suppressAutoHyphens/>
        <w:rPr>
          <w:color w:val="000000"/>
          <w:szCs w:val="22"/>
        </w:rPr>
      </w:pPr>
      <w:r w:rsidRPr="00924EB7">
        <w:rPr>
          <w:color w:val="000000"/>
          <w:szCs w:val="22"/>
        </w:rPr>
        <w:t>28 kalvopäällysteistä tablettia</w:t>
      </w:r>
    </w:p>
    <w:p w14:paraId="6590E6EF" w14:textId="77777777" w:rsidR="00842EBE" w:rsidRPr="00924EB7" w:rsidRDefault="00842EBE" w:rsidP="00372A5A">
      <w:pPr>
        <w:tabs>
          <w:tab w:val="clear" w:pos="567"/>
          <w:tab w:val="left" w:pos="-1440"/>
          <w:tab w:val="left" w:pos="-144"/>
        </w:tabs>
        <w:suppressAutoHyphens/>
        <w:rPr>
          <w:color w:val="000000"/>
          <w:szCs w:val="22"/>
        </w:rPr>
      </w:pPr>
      <w:r w:rsidRPr="00924EB7">
        <w:rPr>
          <w:color w:val="000000"/>
          <w:szCs w:val="22"/>
        </w:rPr>
        <w:t>56 kalvopäällysteistä tablettia</w:t>
      </w:r>
    </w:p>
    <w:p w14:paraId="02F842DC" w14:textId="77777777" w:rsidR="00842EBE" w:rsidRPr="00924EB7" w:rsidRDefault="00842EBE" w:rsidP="001D6F63">
      <w:pPr>
        <w:tabs>
          <w:tab w:val="clear" w:pos="567"/>
          <w:tab w:val="left" w:pos="-1440"/>
          <w:tab w:val="left" w:pos="-144"/>
        </w:tabs>
        <w:suppressAutoHyphens/>
        <w:rPr>
          <w:color w:val="000000"/>
          <w:szCs w:val="22"/>
        </w:rPr>
      </w:pPr>
      <w:r w:rsidRPr="00924EB7">
        <w:rPr>
          <w:color w:val="000000"/>
          <w:szCs w:val="22"/>
        </w:rPr>
        <w:t>98 kalvopäällysteistä tablettia</w:t>
      </w:r>
    </w:p>
    <w:p w14:paraId="092991D8" w14:textId="77777777" w:rsidR="00842EBE" w:rsidRPr="00924EB7" w:rsidRDefault="00842EBE" w:rsidP="001D6F63">
      <w:pPr>
        <w:tabs>
          <w:tab w:val="clear" w:pos="567"/>
          <w:tab w:val="left" w:pos="-1440"/>
          <w:tab w:val="left" w:pos="-144"/>
        </w:tabs>
        <w:suppressAutoHyphens/>
        <w:rPr>
          <w:color w:val="000000"/>
          <w:szCs w:val="22"/>
        </w:rPr>
      </w:pPr>
      <w:r w:rsidRPr="00924EB7">
        <w:rPr>
          <w:color w:val="000000"/>
          <w:szCs w:val="22"/>
        </w:rPr>
        <w:t>280 (10 x 28) kalvopäällysteistä tablettia</w:t>
      </w:r>
    </w:p>
    <w:p w14:paraId="1ACCCD7C" w14:textId="77777777" w:rsidR="00842EBE" w:rsidRPr="00924EB7" w:rsidRDefault="00842EBE">
      <w:pPr>
        <w:tabs>
          <w:tab w:val="clear" w:pos="567"/>
        </w:tabs>
        <w:rPr>
          <w:color w:val="000000"/>
          <w:szCs w:val="22"/>
        </w:rPr>
      </w:pPr>
    </w:p>
    <w:p w14:paraId="3DF3D97E" w14:textId="77777777" w:rsidR="00842EBE" w:rsidRDefault="00842EBE">
      <w:pPr>
        <w:tabs>
          <w:tab w:val="clear" w:pos="567"/>
        </w:tabs>
        <w:rPr>
          <w:color w:val="000000"/>
          <w:szCs w:val="22"/>
        </w:rPr>
      </w:pPr>
      <w:r w:rsidRPr="00924EB7">
        <w:rPr>
          <w:color w:val="000000"/>
          <w:szCs w:val="22"/>
        </w:rPr>
        <w:t>Kaikkia pakkauskokoja ei välttämättä ole myynnissä.</w:t>
      </w:r>
    </w:p>
    <w:p w14:paraId="4EEB7DFE" w14:textId="77777777" w:rsidR="00755255" w:rsidRPr="00924EB7" w:rsidRDefault="00755255">
      <w:pPr>
        <w:tabs>
          <w:tab w:val="clear" w:pos="567"/>
        </w:tabs>
        <w:rPr>
          <w:szCs w:val="22"/>
        </w:rPr>
      </w:pPr>
    </w:p>
    <w:p w14:paraId="3B4D58E2" w14:textId="77777777" w:rsidR="00842EBE" w:rsidRPr="00924EB7" w:rsidRDefault="00842EBE" w:rsidP="0027385B">
      <w:pPr>
        <w:pStyle w:val="Heading2"/>
      </w:pPr>
      <w:proofErr w:type="spellStart"/>
      <w:r w:rsidRPr="00924EB7">
        <w:t>Erityiset</w:t>
      </w:r>
      <w:proofErr w:type="spellEnd"/>
      <w:r w:rsidRPr="00924EB7">
        <w:t xml:space="preserve"> </w:t>
      </w:r>
      <w:proofErr w:type="spellStart"/>
      <w:r w:rsidRPr="00924EB7">
        <w:t>varotoimet</w:t>
      </w:r>
      <w:proofErr w:type="spellEnd"/>
      <w:r w:rsidRPr="00924EB7">
        <w:t xml:space="preserve"> </w:t>
      </w:r>
      <w:proofErr w:type="spellStart"/>
      <w:r w:rsidRPr="00924EB7">
        <w:t>hävittämiselle</w:t>
      </w:r>
      <w:proofErr w:type="spellEnd"/>
      <w:r w:rsidRPr="00924EB7">
        <w:t xml:space="preserve"> </w:t>
      </w:r>
    </w:p>
    <w:p w14:paraId="2157A740" w14:textId="77777777" w:rsidR="00755255" w:rsidRDefault="00755255">
      <w:pPr>
        <w:tabs>
          <w:tab w:val="clear" w:pos="567"/>
        </w:tabs>
        <w:rPr>
          <w:szCs w:val="22"/>
        </w:rPr>
      </w:pPr>
    </w:p>
    <w:p w14:paraId="3AB8113A" w14:textId="77777777" w:rsidR="00842EBE" w:rsidRDefault="00842EBE">
      <w:pPr>
        <w:tabs>
          <w:tab w:val="clear" w:pos="567"/>
        </w:tabs>
        <w:rPr>
          <w:szCs w:val="22"/>
        </w:rPr>
      </w:pPr>
      <w:r w:rsidRPr="00924EB7">
        <w:rPr>
          <w:szCs w:val="22"/>
        </w:rPr>
        <w:t>Ei erityisohjeita.</w:t>
      </w:r>
    </w:p>
    <w:p w14:paraId="4279A2C8" w14:textId="77777777" w:rsidR="00755255" w:rsidRDefault="00755255">
      <w:pPr>
        <w:tabs>
          <w:tab w:val="clear" w:pos="567"/>
        </w:tabs>
        <w:rPr>
          <w:szCs w:val="22"/>
        </w:rPr>
      </w:pPr>
    </w:p>
    <w:p w14:paraId="4F669BC9" w14:textId="77777777" w:rsidR="00755255" w:rsidRPr="00924EB7" w:rsidRDefault="00755255">
      <w:pPr>
        <w:tabs>
          <w:tab w:val="clear" w:pos="567"/>
        </w:tabs>
        <w:rPr>
          <w:szCs w:val="22"/>
        </w:rPr>
      </w:pPr>
    </w:p>
    <w:p w14:paraId="2E7352A6" w14:textId="77777777" w:rsidR="00842EBE" w:rsidRPr="00924EB7" w:rsidRDefault="00842EBE" w:rsidP="0027385B">
      <w:pPr>
        <w:pStyle w:val="Heading1"/>
      </w:pPr>
      <w:r w:rsidRPr="00924EB7">
        <w:t>MYYNTIluvan haltija</w:t>
      </w:r>
    </w:p>
    <w:p w14:paraId="193681F9" w14:textId="77777777" w:rsidR="00755255" w:rsidRDefault="00755255" w:rsidP="00755255">
      <w:pPr>
        <w:tabs>
          <w:tab w:val="clear" w:pos="567"/>
        </w:tabs>
        <w:rPr>
          <w:szCs w:val="22"/>
        </w:rPr>
      </w:pPr>
    </w:p>
    <w:p w14:paraId="18FEA874" w14:textId="77777777" w:rsidR="00D16097" w:rsidRDefault="00D16097" w:rsidP="00D16097">
      <w:r>
        <w:t>Viatris Oy</w:t>
      </w:r>
    </w:p>
    <w:p w14:paraId="7C912BED" w14:textId="77777777" w:rsidR="00D16097" w:rsidRDefault="00D16097" w:rsidP="00D16097">
      <w:r>
        <w:t>Vaisalantie 2-8</w:t>
      </w:r>
    </w:p>
    <w:p w14:paraId="3CECB88B" w14:textId="57BF0EF1" w:rsidR="00755255" w:rsidRDefault="00D16097">
      <w:pPr>
        <w:tabs>
          <w:tab w:val="clear" w:pos="567"/>
        </w:tabs>
        <w:rPr>
          <w:szCs w:val="22"/>
        </w:rPr>
      </w:pPr>
      <w:r>
        <w:t>02130 Espoo</w:t>
      </w:r>
    </w:p>
    <w:p w14:paraId="60707972" w14:textId="77777777" w:rsidR="00755255" w:rsidRPr="00924EB7" w:rsidRDefault="00755255">
      <w:pPr>
        <w:tabs>
          <w:tab w:val="clear" w:pos="567"/>
        </w:tabs>
        <w:rPr>
          <w:szCs w:val="22"/>
        </w:rPr>
      </w:pPr>
    </w:p>
    <w:p w14:paraId="55EFF928" w14:textId="77777777" w:rsidR="00842EBE" w:rsidRPr="00924EB7" w:rsidRDefault="00842EBE" w:rsidP="0027385B">
      <w:pPr>
        <w:pStyle w:val="Heading1"/>
      </w:pPr>
      <w:r w:rsidRPr="00924EB7">
        <w:t>MYYNTILUVAN numero</w:t>
      </w:r>
    </w:p>
    <w:p w14:paraId="72365F33" w14:textId="77777777" w:rsidR="00755255" w:rsidRDefault="00755255" w:rsidP="00755255">
      <w:pPr>
        <w:tabs>
          <w:tab w:val="clear" w:pos="567"/>
        </w:tabs>
        <w:rPr>
          <w:szCs w:val="22"/>
        </w:rPr>
      </w:pPr>
    </w:p>
    <w:p w14:paraId="2AEF2868" w14:textId="77777777" w:rsidR="00842EBE" w:rsidRDefault="00842EBE" w:rsidP="00755255">
      <w:pPr>
        <w:tabs>
          <w:tab w:val="clear" w:pos="567"/>
        </w:tabs>
        <w:rPr>
          <w:szCs w:val="22"/>
        </w:rPr>
      </w:pPr>
      <w:r w:rsidRPr="00924EB7">
        <w:rPr>
          <w:szCs w:val="22"/>
        </w:rPr>
        <w:t>14674</w:t>
      </w:r>
    </w:p>
    <w:p w14:paraId="33EDE171" w14:textId="77777777" w:rsidR="00755255" w:rsidRDefault="00755255" w:rsidP="00755255">
      <w:pPr>
        <w:tabs>
          <w:tab w:val="clear" w:pos="567"/>
        </w:tabs>
        <w:rPr>
          <w:szCs w:val="22"/>
        </w:rPr>
      </w:pPr>
    </w:p>
    <w:p w14:paraId="47EE86B7" w14:textId="77777777" w:rsidR="00755255" w:rsidRPr="00924EB7" w:rsidRDefault="00755255" w:rsidP="00755255">
      <w:pPr>
        <w:tabs>
          <w:tab w:val="clear" w:pos="567"/>
        </w:tabs>
        <w:rPr>
          <w:szCs w:val="22"/>
        </w:rPr>
      </w:pPr>
    </w:p>
    <w:p w14:paraId="24B2EC14" w14:textId="77777777" w:rsidR="00842EBE" w:rsidRPr="00924EB7" w:rsidRDefault="00842EBE" w:rsidP="0027385B">
      <w:pPr>
        <w:pStyle w:val="Heading1"/>
      </w:pPr>
      <w:r w:rsidRPr="00924EB7">
        <w:lastRenderedPageBreak/>
        <w:t>MYYNTILUVAN MYÖNTÄMISPÄIVÄMÄÄRÄ/UUDISTAMISPÄIVÄMÄÄRÄ</w:t>
      </w:r>
    </w:p>
    <w:p w14:paraId="7F178DAF" w14:textId="77777777" w:rsidR="00755255" w:rsidRDefault="00755255" w:rsidP="00755255">
      <w:pPr>
        <w:tabs>
          <w:tab w:val="clear" w:pos="567"/>
        </w:tabs>
        <w:rPr>
          <w:color w:val="000000"/>
          <w:szCs w:val="22"/>
        </w:rPr>
      </w:pPr>
    </w:p>
    <w:p w14:paraId="45A36B49" w14:textId="77777777" w:rsidR="00842EBE" w:rsidRDefault="00842EBE" w:rsidP="00755255">
      <w:pPr>
        <w:tabs>
          <w:tab w:val="clear" w:pos="567"/>
        </w:tabs>
        <w:rPr>
          <w:color w:val="000000"/>
          <w:szCs w:val="22"/>
        </w:rPr>
      </w:pPr>
      <w:r w:rsidRPr="00924EB7">
        <w:rPr>
          <w:color w:val="000000"/>
          <w:szCs w:val="22"/>
        </w:rPr>
        <w:t xml:space="preserve">21.02.2000 / </w:t>
      </w:r>
      <w:r w:rsidR="00D44726">
        <w:t>15.12.2008</w:t>
      </w:r>
    </w:p>
    <w:p w14:paraId="29579AF9" w14:textId="77777777" w:rsidR="00755255" w:rsidRDefault="00755255" w:rsidP="00755255">
      <w:pPr>
        <w:tabs>
          <w:tab w:val="clear" w:pos="567"/>
        </w:tabs>
        <w:rPr>
          <w:color w:val="000000"/>
          <w:szCs w:val="22"/>
        </w:rPr>
      </w:pPr>
    </w:p>
    <w:p w14:paraId="20E118ED" w14:textId="77777777" w:rsidR="00755255" w:rsidRPr="00924EB7" w:rsidRDefault="00755255" w:rsidP="00755255">
      <w:pPr>
        <w:tabs>
          <w:tab w:val="clear" w:pos="567"/>
        </w:tabs>
        <w:rPr>
          <w:szCs w:val="22"/>
        </w:rPr>
      </w:pPr>
    </w:p>
    <w:p w14:paraId="76860719" w14:textId="5C46720B" w:rsidR="00842EBE" w:rsidRDefault="00842EBE" w:rsidP="0027385B">
      <w:pPr>
        <w:pStyle w:val="Heading1"/>
      </w:pPr>
      <w:r w:rsidRPr="00924EB7">
        <w:t>TEKSTIN MUUTTAMISPÄIVÄMÄÄRÄ</w:t>
      </w:r>
    </w:p>
    <w:p w14:paraId="1592044A" w14:textId="77777777" w:rsidR="00794409" w:rsidRPr="00794409" w:rsidRDefault="00794409" w:rsidP="00794409"/>
    <w:p w14:paraId="1D06C5BE" w14:textId="27DCD9E6" w:rsidR="00794409" w:rsidRPr="00794409" w:rsidRDefault="00794409" w:rsidP="00794409">
      <w:r w:rsidRPr="00D16097">
        <w:rPr>
          <w:color w:val="000000"/>
          <w:szCs w:val="22"/>
        </w:rPr>
        <w:t>3.2.2022</w:t>
      </w:r>
    </w:p>
    <w:p w14:paraId="0ECB4378" w14:textId="77777777" w:rsidR="00755255" w:rsidRDefault="00755255">
      <w:pPr>
        <w:rPr>
          <w:color w:val="000000"/>
          <w:szCs w:val="22"/>
        </w:rPr>
      </w:pPr>
    </w:p>
    <w:p w14:paraId="2FB92124" w14:textId="6443B117" w:rsidR="00A67877" w:rsidRPr="0027385B" w:rsidRDefault="00A67877" w:rsidP="00A67877">
      <w:pPr>
        <w:keepNext/>
        <w:pageBreakBefore/>
        <w:widowControl/>
        <w:tabs>
          <w:tab w:val="clear" w:pos="567"/>
        </w:tabs>
        <w:jc w:val="center"/>
        <w:outlineLvl w:val="0"/>
        <w:rPr>
          <w:b/>
          <w:caps/>
          <w:szCs w:val="28"/>
          <w:lang w:val="sv-SE"/>
        </w:rPr>
      </w:pPr>
      <w:r w:rsidRPr="0027385B">
        <w:rPr>
          <w:b/>
          <w:caps/>
          <w:szCs w:val="28"/>
          <w:lang w:val="sv-SE"/>
        </w:rPr>
        <w:lastRenderedPageBreak/>
        <w:t>Produktresumé</w:t>
      </w:r>
    </w:p>
    <w:p w14:paraId="6C393492" w14:textId="77777777" w:rsidR="00A67877" w:rsidRPr="0027385B" w:rsidRDefault="00A67877" w:rsidP="00A67877">
      <w:pPr>
        <w:widowControl/>
        <w:tabs>
          <w:tab w:val="clear" w:pos="567"/>
        </w:tabs>
        <w:rPr>
          <w:szCs w:val="24"/>
          <w:lang w:val="sv-SE"/>
        </w:rPr>
      </w:pPr>
    </w:p>
    <w:p w14:paraId="69A2C4B7" w14:textId="77777777" w:rsidR="00A67877" w:rsidRPr="0027385B" w:rsidRDefault="00A67877" w:rsidP="00A67877">
      <w:pPr>
        <w:widowControl/>
        <w:tabs>
          <w:tab w:val="clear" w:pos="567"/>
        </w:tabs>
        <w:rPr>
          <w:szCs w:val="24"/>
          <w:lang w:val="sv-SE"/>
        </w:rPr>
      </w:pPr>
    </w:p>
    <w:p w14:paraId="24618E1A" w14:textId="77777777" w:rsidR="00A67877" w:rsidRPr="0027385B" w:rsidRDefault="00A67877" w:rsidP="00A67877">
      <w:pPr>
        <w:keepNext/>
        <w:widowControl/>
        <w:numPr>
          <w:ilvl w:val="0"/>
          <w:numId w:val="9"/>
        </w:numPr>
        <w:outlineLvl w:val="1"/>
        <w:rPr>
          <w:b/>
          <w:caps/>
          <w:szCs w:val="24"/>
          <w:lang w:val="sv-SE"/>
        </w:rPr>
      </w:pPr>
      <w:r w:rsidRPr="0027385B">
        <w:rPr>
          <w:b/>
          <w:caps/>
          <w:szCs w:val="24"/>
          <w:lang w:val="sv-SE"/>
        </w:rPr>
        <w:t xml:space="preserve">Läkemedlets Namn </w:t>
      </w:r>
    </w:p>
    <w:p w14:paraId="4D954B52" w14:textId="77777777" w:rsidR="00A67877" w:rsidRPr="0027385B" w:rsidRDefault="00A67877" w:rsidP="00A67877">
      <w:pPr>
        <w:widowControl/>
        <w:tabs>
          <w:tab w:val="clear" w:pos="567"/>
        </w:tabs>
        <w:rPr>
          <w:szCs w:val="24"/>
          <w:lang w:val="sv-SE"/>
        </w:rPr>
      </w:pPr>
    </w:p>
    <w:p w14:paraId="73775464" w14:textId="77777777" w:rsidR="00A67877" w:rsidRPr="0027385B" w:rsidRDefault="00A67877" w:rsidP="00A67877">
      <w:pPr>
        <w:widowControl/>
        <w:tabs>
          <w:tab w:val="clear" w:pos="567"/>
        </w:tabs>
        <w:rPr>
          <w:szCs w:val="24"/>
          <w:lang w:val="sv-SE"/>
        </w:rPr>
      </w:pPr>
      <w:r w:rsidRPr="0027385B">
        <w:rPr>
          <w:szCs w:val="24"/>
          <w:lang w:val="sv-SE"/>
        </w:rPr>
        <w:t>Teveten 600 mg, filmdragerade tabletter</w:t>
      </w:r>
    </w:p>
    <w:p w14:paraId="43ED64BB" w14:textId="77777777" w:rsidR="00A67877" w:rsidRPr="0027385B" w:rsidRDefault="00A67877" w:rsidP="00A67877">
      <w:pPr>
        <w:widowControl/>
        <w:tabs>
          <w:tab w:val="clear" w:pos="567"/>
        </w:tabs>
        <w:rPr>
          <w:szCs w:val="24"/>
          <w:lang w:val="sv-SE"/>
        </w:rPr>
      </w:pPr>
    </w:p>
    <w:p w14:paraId="053E4310" w14:textId="77777777" w:rsidR="00A67877" w:rsidRPr="0027385B" w:rsidRDefault="00A67877" w:rsidP="00A67877">
      <w:pPr>
        <w:widowControl/>
        <w:tabs>
          <w:tab w:val="clear" w:pos="567"/>
        </w:tabs>
        <w:rPr>
          <w:szCs w:val="24"/>
          <w:lang w:val="sv-SE"/>
        </w:rPr>
      </w:pPr>
    </w:p>
    <w:p w14:paraId="409F6A38" w14:textId="77777777" w:rsidR="00A67877" w:rsidRPr="0027385B" w:rsidRDefault="00A67877" w:rsidP="00A67877">
      <w:pPr>
        <w:keepNext/>
        <w:widowControl/>
        <w:numPr>
          <w:ilvl w:val="0"/>
          <w:numId w:val="9"/>
        </w:numPr>
        <w:outlineLvl w:val="1"/>
        <w:rPr>
          <w:b/>
          <w:smallCaps/>
          <w:szCs w:val="24"/>
          <w:lang w:val="sv-SE"/>
        </w:rPr>
      </w:pPr>
      <w:r w:rsidRPr="0027385B">
        <w:rPr>
          <w:b/>
          <w:caps/>
          <w:szCs w:val="24"/>
          <w:lang w:val="sv-SE"/>
        </w:rPr>
        <w:t>Kvalitativ och Kvantitativ Sammansättning</w:t>
      </w:r>
    </w:p>
    <w:p w14:paraId="3EBAC308" w14:textId="77777777" w:rsidR="00A67877" w:rsidRPr="0027385B" w:rsidRDefault="00A67877" w:rsidP="00A67877">
      <w:pPr>
        <w:widowControl/>
        <w:tabs>
          <w:tab w:val="clear" w:pos="567"/>
        </w:tabs>
        <w:rPr>
          <w:szCs w:val="24"/>
          <w:lang w:val="sv-SE"/>
        </w:rPr>
      </w:pPr>
    </w:p>
    <w:p w14:paraId="1DD8D7D6" w14:textId="77777777" w:rsidR="00540FED" w:rsidRDefault="00A67877" w:rsidP="00A67877">
      <w:pPr>
        <w:widowControl/>
        <w:tabs>
          <w:tab w:val="clear" w:pos="567"/>
        </w:tabs>
        <w:rPr>
          <w:szCs w:val="24"/>
          <w:lang w:val="sv-SE"/>
        </w:rPr>
      </w:pPr>
      <w:r w:rsidRPr="0027385B">
        <w:rPr>
          <w:szCs w:val="24"/>
          <w:lang w:val="sv-SE"/>
        </w:rPr>
        <w:t>Varje filmdragerad tablett innehåller eprosartanmesylat motsvarande 600 mg eprosartan.</w:t>
      </w:r>
    </w:p>
    <w:p w14:paraId="22DCDCA0" w14:textId="77777777" w:rsidR="00540FED" w:rsidRDefault="00540FED" w:rsidP="00A67877">
      <w:pPr>
        <w:widowControl/>
        <w:tabs>
          <w:tab w:val="clear" w:pos="567"/>
        </w:tabs>
        <w:rPr>
          <w:szCs w:val="24"/>
          <w:lang w:val="sv-SE"/>
        </w:rPr>
      </w:pPr>
    </w:p>
    <w:p w14:paraId="0E089C3A" w14:textId="77777777" w:rsidR="00540FED" w:rsidRPr="00ED54E5" w:rsidRDefault="00540FED" w:rsidP="00540FED">
      <w:pPr>
        <w:rPr>
          <w:szCs w:val="24"/>
          <w:lang w:val="sv-SE"/>
        </w:rPr>
      </w:pPr>
      <w:r w:rsidRPr="00ED54E5">
        <w:rPr>
          <w:szCs w:val="24"/>
          <w:lang w:val="sv-SE"/>
        </w:rPr>
        <w:t>Hjälpämnen med känd effekt:</w:t>
      </w:r>
    </w:p>
    <w:p w14:paraId="7B5E1616" w14:textId="77777777" w:rsidR="00A67877" w:rsidRPr="0027385B" w:rsidRDefault="00540FED" w:rsidP="00ED54E5">
      <w:pPr>
        <w:rPr>
          <w:szCs w:val="24"/>
          <w:lang w:val="sv-SE"/>
        </w:rPr>
      </w:pPr>
      <w:r w:rsidRPr="00ED54E5">
        <w:rPr>
          <w:szCs w:val="24"/>
          <w:lang w:val="sv-SE"/>
        </w:rPr>
        <w:t>Varje filmdragerad tablett innehåller 43,3 mg laktos (som laktosmonohydrat).</w:t>
      </w:r>
      <w:r w:rsidR="00A67877" w:rsidRPr="0027385B">
        <w:rPr>
          <w:szCs w:val="24"/>
          <w:lang w:val="sv-SE"/>
        </w:rPr>
        <w:t xml:space="preserve"> </w:t>
      </w:r>
    </w:p>
    <w:p w14:paraId="638252F6" w14:textId="77777777" w:rsidR="00A67877" w:rsidRPr="0027385B" w:rsidRDefault="00A67877" w:rsidP="00A67877">
      <w:pPr>
        <w:widowControl/>
        <w:tabs>
          <w:tab w:val="clear" w:pos="567"/>
        </w:tabs>
        <w:rPr>
          <w:szCs w:val="24"/>
          <w:lang w:val="sv-SE"/>
        </w:rPr>
      </w:pPr>
    </w:p>
    <w:p w14:paraId="19B582B5" w14:textId="77777777" w:rsidR="00A67877" w:rsidRPr="0027385B" w:rsidRDefault="00A67877" w:rsidP="00A67877">
      <w:pPr>
        <w:widowControl/>
        <w:tabs>
          <w:tab w:val="clear" w:pos="567"/>
        </w:tabs>
        <w:rPr>
          <w:szCs w:val="24"/>
          <w:lang w:val="sv-SE"/>
        </w:rPr>
      </w:pPr>
      <w:r w:rsidRPr="0027385B">
        <w:rPr>
          <w:szCs w:val="24"/>
          <w:lang w:val="sv-SE"/>
        </w:rPr>
        <w:t>För fullständig förteckning över hjälpämnen, se avsnitt 6.1.</w:t>
      </w:r>
    </w:p>
    <w:p w14:paraId="63641D56" w14:textId="77777777" w:rsidR="00A67877" w:rsidRPr="0027385B" w:rsidRDefault="00A67877" w:rsidP="00A67877">
      <w:pPr>
        <w:widowControl/>
        <w:tabs>
          <w:tab w:val="clear" w:pos="567"/>
        </w:tabs>
        <w:rPr>
          <w:szCs w:val="24"/>
          <w:lang w:val="sv-SE"/>
        </w:rPr>
      </w:pPr>
    </w:p>
    <w:p w14:paraId="12C6664E" w14:textId="77777777" w:rsidR="00A67877" w:rsidRPr="0027385B" w:rsidRDefault="00A67877" w:rsidP="00A67877">
      <w:pPr>
        <w:widowControl/>
        <w:tabs>
          <w:tab w:val="clear" w:pos="567"/>
        </w:tabs>
        <w:rPr>
          <w:szCs w:val="24"/>
          <w:lang w:val="sv-SE"/>
        </w:rPr>
      </w:pPr>
    </w:p>
    <w:p w14:paraId="604F6DB0" w14:textId="77777777" w:rsidR="00A67877" w:rsidRPr="0027385B" w:rsidRDefault="00A67877" w:rsidP="00A67877">
      <w:pPr>
        <w:keepNext/>
        <w:widowControl/>
        <w:numPr>
          <w:ilvl w:val="0"/>
          <w:numId w:val="9"/>
        </w:numPr>
        <w:outlineLvl w:val="1"/>
        <w:rPr>
          <w:b/>
          <w:caps/>
          <w:szCs w:val="24"/>
          <w:lang w:val="sv-SE"/>
        </w:rPr>
      </w:pPr>
      <w:r w:rsidRPr="0027385B">
        <w:rPr>
          <w:b/>
          <w:caps/>
          <w:szCs w:val="24"/>
          <w:lang w:val="sv-SE"/>
        </w:rPr>
        <w:t>Läkemedelsform</w:t>
      </w:r>
    </w:p>
    <w:p w14:paraId="622FF158" w14:textId="77777777" w:rsidR="00A67877" w:rsidRPr="0027385B" w:rsidRDefault="00A67877" w:rsidP="00A67877">
      <w:pPr>
        <w:widowControl/>
        <w:tabs>
          <w:tab w:val="clear" w:pos="567"/>
        </w:tabs>
        <w:rPr>
          <w:szCs w:val="24"/>
          <w:lang w:val="sv-SE"/>
        </w:rPr>
      </w:pPr>
    </w:p>
    <w:p w14:paraId="644AB933" w14:textId="77777777" w:rsidR="00A67877" w:rsidRPr="0027385B" w:rsidRDefault="00A67877" w:rsidP="00A67877">
      <w:pPr>
        <w:widowControl/>
        <w:tabs>
          <w:tab w:val="clear" w:pos="567"/>
        </w:tabs>
        <w:rPr>
          <w:szCs w:val="24"/>
          <w:lang w:val="sv-SE"/>
        </w:rPr>
      </w:pPr>
      <w:r w:rsidRPr="0027385B">
        <w:rPr>
          <w:szCs w:val="24"/>
          <w:lang w:val="sv-SE"/>
        </w:rPr>
        <w:t>Filmdragerad tablett.</w:t>
      </w:r>
    </w:p>
    <w:p w14:paraId="21AFB983" w14:textId="77777777" w:rsidR="00A67877" w:rsidRPr="0027385B" w:rsidRDefault="00A67877" w:rsidP="00A67877">
      <w:pPr>
        <w:widowControl/>
        <w:tabs>
          <w:tab w:val="clear" w:pos="567"/>
        </w:tabs>
        <w:rPr>
          <w:szCs w:val="24"/>
          <w:lang w:val="sv-SE"/>
        </w:rPr>
      </w:pPr>
      <w:r w:rsidRPr="0027385B">
        <w:rPr>
          <w:szCs w:val="24"/>
          <w:lang w:val="sv-SE"/>
        </w:rPr>
        <w:br/>
        <w:t>Teveten 600 mg är en vit, kapselformad filmdragerad tablett märkt ”</w:t>
      </w:r>
      <w:smartTag w:uri="urn:schemas-microsoft-com:office:smarttags" w:element="country-region">
        <w:smartTagPr>
          <w:attr w:name="ProductID" w:val="5046”"/>
        </w:smartTagPr>
        <w:r w:rsidRPr="0027385B">
          <w:rPr>
            <w:szCs w:val="24"/>
            <w:lang w:val="sv-SE"/>
          </w:rPr>
          <w:t>5046”</w:t>
        </w:r>
      </w:smartTag>
      <w:r w:rsidRPr="0027385B">
        <w:rPr>
          <w:szCs w:val="24"/>
          <w:lang w:val="sv-SE"/>
        </w:rPr>
        <w:t xml:space="preserve"> på den ena sidan.</w:t>
      </w:r>
    </w:p>
    <w:p w14:paraId="6D6CA437" w14:textId="77777777" w:rsidR="00A67877" w:rsidRPr="0027385B" w:rsidRDefault="00A67877" w:rsidP="00A67877">
      <w:pPr>
        <w:widowControl/>
        <w:tabs>
          <w:tab w:val="clear" w:pos="567"/>
        </w:tabs>
        <w:rPr>
          <w:szCs w:val="24"/>
          <w:lang w:val="sv-SE"/>
        </w:rPr>
      </w:pPr>
    </w:p>
    <w:p w14:paraId="7BE4B2B6" w14:textId="77777777" w:rsidR="00A67877" w:rsidRPr="0027385B" w:rsidRDefault="00A67877" w:rsidP="00A67877">
      <w:pPr>
        <w:widowControl/>
        <w:tabs>
          <w:tab w:val="clear" w:pos="567"/>
        </w:tabs>
        <w:rPr>
          <w:szCs w:val="24"/>
          <w:lang w:val="sv-SE"/>
        </w:rPr>
      </w:pPr>
    </w:p>
    <w:p w14:paraId="0FA8DD24" w14:textId="77777777" w:rsidR="00A67877" w:rsidRPr="0027385B" w:rsidRDefault="00A67877" w:rsidP="00A67877">
      <w:pPr>
        <w:keepNext/>
        <w:widowControl/>
        <w:numPr>
          <w:ilvl w:val="0"/>
          <w:numId w:val="9"/>
        </w:numPr>
        <w:outlineLvl w:val="1"/>
        <w:rPr>
          <w:b/>
          <w:caps/>
          <w:lang w:val="sv-SE"/>
        </w:rPr>
      </w:pPr>
      <w:r w:rsidRPr="0027385B">
        <w:rPr>
          <w:b/>
          <w:caps/>
          <w:lang w:val="sv-SE"/>
        </w:rPr>
        <w:t>Kliniska Uppgifter</w:t>
      </w:r>
    </w:p>
    <w:p w14:paraId="5C386CA4" w14:textId="77777777" w:rsidR="00A67877" w:rsidRPr="0027385B" w:rsidRDefault="00A67877" w:rsidP="00A67877">
      <w:pPr>
        <w:widowControl/>
        <w:tabs>
          <w:tab w:val="clear" w:pos="567"/>
        </w:tabs>
        <w:rPr>
          <w:lang w:val="sv-SE"/>
        </w:rPr>
      </w:pPr>
    </w:p>
    <w:p w14:paraId="7BACC31D" w14:textId="77777777" w:rsidR="00A67877" w:rsidRPr="0027385B" w:rsidRDefault="00A67877" w:rsidP="00A67877">
      <w:pPr>
        <w:keepNext/>
        <w:widowControl/>
        <w:numPr>
          <w:ilvl w:val="1"/>
          <w:numId w:val="9"/>
        </w:numPr>
        <w:outlineLvl w:val="1"/>
        <w:rPr>
          <w:b/>
          <w:lang w:val="sv-SE"/>
        </w:rPr>
      </w:pPr>
      <w:r w:rsidRPr="0027385B">
        <w:rPr>
          <w:b/>
          <w:lang w:val="sv-SE"/>
        </w:rPr>
        <w:t>Terapeutiska indikationer</w:t>
      </w:r>
    </w:p>
    <w:p w14:paraId="2DC63330" w14:textId="77777777" w:rsidR="00A67877" w:rsidRPr="0027385B" w:rsidRDefault="00A67877" w:rsidP="00A67877">
      <w:pPr>
        <w:widowControl/>
        <w:tabs>
          <w:tab w:val="clear" w:pos="567"/>
        </w:tabs>
        <w:rPr>
          <w:szCs w:val="24"/>
          <w:lang w:val="sv-SE"/>
        </w:rPr>
      </w:pPr>
    </w:p>
    <w:p w14:paraId="27A67176" w14:textId="77777777" w:rsidR="00A67877" w:rsidRPr="0027385B" w:rsidRDefault="00A67877" w:rsidP="00A67877">
      <w:pPr>
        <w:widowControl/>
        <w:tabs>
          <w:tab w:val="clear" w:pos="567"/>
        </w:tabs>
        <w:rPr>
          <w:szCs w:val="24"/>
          <w:lang w:val="sv-SE"/>
        </w:rPr>
      </w:pPr>
      <w:r w:rsidRPr="0027385B">
        <w:rPr>
          <w:szCs w:val="24"/>
          <w:lang w:val="sv-SE"/>
        </w:rPr>
        <w:t>Eprosartan är indicerat för behandling av essentiell hypertoni.</w:t>
      </w:r>
    </w:p>
    <w:p w14:paraId="375B781C" w14:textId="77777777" w:rsidR="00A67877" w:rsidRPr="0027385B" w:rsidRDefault="00A67877" w:rsidP="00A67877">
      <w:pPr>
        <w:widowControl/>
        <w:tabs>
          <w:tab w:val="clear" w:pos="567"/>
        </w:tabs>
        <w:rPr>
          <w:szCs w:val="24"/>
          <w:lang w:val="sv-SE"/>
        </w:rPr>
      </w:pPr>
    </w:p>
    <w:p w14:paraId="4B1BA582"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Dosering och administreringssätt</w:t>
      </w:r>
    </w:p>
    <w:p w14:paraId="7EA9562C" w14:textId="77777777" w:rsidR="00A67877" w:rsidRPr="0027385B" w:rsidRDefault="00A67877" w:rsidP="00A67877">
      <w:pPr>
        <w:widowControl/>
        <w:tabs>
          <w:tab w:val="clear" w:pos="567"/>
        </w:tabs>
        <w:rPr>
          <w:szCs w:val="24"/>
          <w:lang w:val="sv-SE"/>
        </w:rPr>
      </w:pPr>
    </w:p>
    <w:p w14:paraId="415BD00B" w14:textId="77777777" w:rsidR="00A67877" w:rsidRPr="0027385B" w:rsidRDefault="00A67877" w:rsidP="00A67877">
      <w:pPr>
        <w:widowControl/>
        <w:tabs>
          <w:tab w:val="clear" w:pos="567"/>
        </w:tabs>
        <w:rPr>
          <w:szCs w:val="24"/>
          <w:lang w:val="sv-SE"/>
        </w:rPr>
      </w:pPr>
      <w:r w:rsidRPr="0027385B">
        <w:rPr>
          <w:szCs w:val="24"/>
          <w:lang w:val="sv-SE"/>
        </w:rPr>
        <w:t>Rekommenderad dos är 600 mg eprosartan en gång om dagen.</w:t>
      </w:r>
    </w:p>
    <w:p w14:paraId="7A490BC9" w14:textId="77777777" w:rsidR="00A67877" w:rsidRPr="0027385B" w:rsidRDefault="00A67877" w:rsidP="00A67877">
      <w:pPr>
        <w:widowControl/>
        <w:tabs>
          <w:tab w:val="clear" w:pos="567"/>
        </w:tabs>
        <w:rPr>
          <w:szCs w:val="24"/>
          <w:lang w:val="sv-SE"/>
        </w:rPr>
      </w:pPr>
    </w:p>
    <w:p w14:paraId="5F561D65" w14:textId="77777777" w:rsidR="00A67877" w:rsidRPr="0027385B" w:rsidRDefault="00A67877" w:rsidP="00A67877">
      <w:pPr>
        <w:widowControl/>
        <w:tabs>
          <w:tab w:val="clear" w:pos="567"/>
        </w:tabs>
        <w:rPr>
          <w:szCs w:val="24"/>
          <w:lang w:val="sv-SE"/>
        </w:rPr>
      </w:pPr>
      <w:r w:rsidRPr="0027385B">
        <w:rPr>
          <w:szCs w:val="24"/>
          <w:lang w:val="sv-SE"/>
        </w:rPr>
        <w:t>Maximal blodtryckssänkning uppnås i regel efter 2 till 3 veckors behandling.</w:t>
      </w:r>
    </w:p>
    <w:p w14:paraId="05B2A3CE" w14:textId="77777777" w:rsidR="00A67877" w:rsidRPr="0027385B" w:rsidRDefault="00A67877" w:rsidP="00A67877">
      <w:pPr>
        <w:widowControl/>
        <w:tabs>
          <w:tab w:val="clear" w:pos="567"/>
        </w:tabs>
        <w:rPr>
          <w:szCs w:val="24"/>
          <w:lang w:val="sv-SE"/>
        </w:rPr>
      </w:pPr>
    </w:p>
    <w:p w14:paraId="3142CFD5" w14:textId="77777777" w:rsidR="00A67877" w:rsidRPr="0027385B" w:rsidRDefault="00A67877" w:rsidP="00A67877">
      <w:pPr>
        <w:widowControl/>
        <w:tabs>
          <w:tab w:val="clear" w:pos="567"/>
        </w:tabs>
        <w:rPr>
          <w:szCs w:val="24"/>
          <w:lang w:val="sv-SE"/>
        </w:rPr>
      </w:pPr>
      <w:r w:rsidRPr="0027385B">
        <w:rPr>
          <w:szCs w:val="24"/>
          <w:lang w:val="sv-SE"/>
        </w:rPr>
        <w:t xml:space="preserve">Eprosartan kan användas ensamt eller i kombination med andra antihypertensiva läkemedel (se avsnitt 4.3, 4.4, 4.5 och 5.1). Särskilt tillägg av tiaziddiuretika såsom hydroklortiazid eller kalciumantagonister såsom nifedipin i depåform har visat sig ge additiv effekt i kombination med eprosartan. </w:t>
      </w:r>
    </w:p>
    <w:p w14:paraId="6B2BE87B" w14:textId="77777777" w:rsidR="00A67877" w:rsidRPr="0027385B" w:rsidRDefault="00A67877" w:rsidP="00A67877">
      <w:pPr>
        <w:widowControl/>
        <w:tabs>
          <w:tab w:val="clear" w:pos="567"/>
        </w:tabs>
        <w:rPr>
          <w:szCs w:val="24"/>
          <w:lang w:val="sv-SE"/>
        </w:rPr>
      </w:pPr>
    </w:p>
    <w:p w14:paraId="0E82A92D" w14:textId="77777777" w:rsidR="00A67877" w:rsidRPr="0027385B" w:rsidRDefault="00A67877" w:rsidP="00A67877">
      <w:pPr>
        <w:widowControl/>
        <w:tabs>
          <w:tab w:val="clear" w:pos="567"/>
        </w:tabs>
        <w:rPr>
          <w:szCs w:val="24"/>
          <w:lang w:val="sv-SE"/>
        </w:rPr>
      </w:pPr>
      <w:r w:rsidRPr="0027385B">
        <w:rPr>
          <w:szCs w:val="22"/>
          <w:lang w:val="sv-SE"/>
        </w:rPr>
        <w:t>Eprosartan</w:t>
      </w:r>
      <w:r w:rsidRPr="0027385B" w:rsidDel="005348B4">
        <w:rPr>
          <w:szCs w:val="24"/>
          <w:lang w:val="sv-SE"/>
        </w:rPr>
        <w:t xml:space="preserve"> </w:t>
      </w:r>
      <w:r w:rsidRPr="0027385B">
        <w:rPr>
          <w:szCs w:val="24"/>
          <w:lang w:val="sv-SE"/>
        </w:rPr>
        <w:t>kan intas med eller utan föda.</w:t>
      </w:r>
    </w:p>
    <w:p w14:paraId="45A0EBCE" w14:textId="77777777" w:rsidR="00A67877" w:rsidRPr="0027385B" w:rsidRDefault="00A67877" w:rsidP="00A67877">
      <w:pPr>
        <w:widowControl/>
        <w:tabs>
          <w:tab w:val="clear" w:pos="567"/>
        </w:tabs>
        <w:rPr>
          <w:szCs w:val="24"/>
          <w:lang w:val="sv-SE"/>
        </w:rPr>
      </w:pPr>
    </w:p>
    <w:p w14:paraId="49830A1D" w14:textId="77777777" w:rsidR="00A67877" w:rsidRPr="0027385B" w:rsidRDefault="00A67877" w:rsidP="00A67877">
      <w:pPr>
        <w:widowControl/>
        <w:tabs>
          <w:tab w:val="clear" w:pos="567"/>
        </w:tabs>
        <w:rPr>
          <w:szCs w:val="24"/>
          <w:lang w:val="sv-SE"/>
        </w:rPr>
      </w:pPr>
      <w:r w:rsidRPr="0027385B">
        <w:rPr>
          <w:szCs w:val="24"/>
          <w:lang w:val="sv-SE"/>
        </w:rPr>
        <w:t>Behandlingstiden är inte begränsad.</w:t>
      </w:r>
    </w:p>
    <w:p w14:paraId="4327D0ED" w14:textId="77777777" w:rsidR="00A67877" w:rsidRPr="0027385B" w:rsidRDefault="00A67877" w:rsidP="00A67877">
      <w:pPr>
        <w:widowControl/>
        <w:tabs>
          <w:tab w:val="clear" w:pos="567"/>
        </w:tabs>
        <w:rPr>
          <w:szCs w:val="24"/>
          <w:lang w:val="sv-SE"/>
        </w:rPr>
      </w:pPr>
    </w:p>
    <w:p w14:paraId="6986FE7E" w14:textId="77777777" w:rsidR="00A67877" w:rsidRPr="00ED54E5" w:rsidRDefault="00A67877" w:rsidP="00A67877">
      <w:pPr>
        <w:keepNext/>
        <w:widowControl/>
        <w:tabs>
          <w:tab w:val="clear" w:pos="567"/>
        </w:tabs>
        <w:rPr>
          <w:i/>
          <w:szCs w:val="24"/>
          <w:lang w:val="sv-SE"/>
        </w:rPr>
      </w:pPr>
      <w:r w:rsidRPr="00ED54E5">
        <w:rPr>
          <w:i/>
          <w:szCs w:val="24"/>
          <w:lang w:val="sv-SE"/>
        </w:rPr>
        <w:t>Geriatriska patienter</w:t>
      </w:r>
    </w:p>
    <w:p w14:paraId="7ADE2546" w14:textId="77777777" w:rsidR="00A67877" w:rsidRPr="0027385B" w:rsidRDefault="00A67877" w:rsidP="00A67877">
      <w:pPr>
        <w:widowControl/>
        <w:tabs>
          <w:tab w:val="clear" w:pos="567"/>
        </w:tabs>
        <w:rPr>
          <w:szCs w:val="24"/>
          <w:lang w:val="sv-SE"/>
        </w:rPr>
      </w:pPr>
      <w:r w:rsidRPr="0027385B">
        <w:rPr>
          <w:szCs w:val="24"/>
          <w:lang w:val="sv-SE"/>
        </w:rPr>
        <w:t>Ingen dosjustering erfordras hos äldre.</w:t>
      </w:r>
    </w:p>
    <w:p w14:paraId="3748F826" w14:textId="77777777" w:rsidR="00A67877" w:rsidRPr="0027385B" w:rsidRDefault="00A67877" w:rsidP="00A67877">
      <w:pPr>
        <w:widowControl/>
        <w:tabs>
          <w:tab w:val="clear" w:pos="567"/>
        </w:tabs>
        <w:rPr>
          <w:i/>
          <w:szCs w:val="24"/>
          <w:lang w:val="sv-SE"/>
        </w:rPr>
      </w:pPr>
    </w:p>
    <w:p w14:paraId="05649E41" w14:textId="77777777" w:rsidR="00A67877" w:rsidRPr="00ED54E5" w:rsidRDefault="00A67877" w:rsidP="00A67877">
      <w:pPr>
        <w:keepNext/>
        <w:widowControl/>
        <w:tabs>
          <w:tab w:val="clear" w:pos="567"/>
        </w:tabs>
        <w:rPr>
          <w:i/>
          <w:szCs w:val="24"/>
          <w:lang w:val="sv-SE"/>
        </w:rPr>
      </w:pPr>
      <w:r w:rsidRPr="00ED54E5">
        <w:rPr>
          <w:i/>
          <w:szCs w:val="24"/>
          <w:lang w:val="sv-SE"/>
        </w:rPr>
        <w:t xml:space="preserve">Patienter med nedsatt leverfunktion </w:t>
      </w:r>
    </w:p>
    <w:p w14:paraId="0017CBEE" w14:textId="77777777" w:rsidR="00A67877" w:rsidRPr="0027385B" w:rsidRDefault="00A67877" w:rsidP="00A67877">
      <w:pPr>
        <w:widowControl/>
        <w:tabs>
          <w:tab w:val="clear" w:pos="567"/>
        </w:tabs>
        <w:rPr>
          <w:szCs w:val="24"/>
          <w:lang w:val="sv-SE"/>
        </w:rPr>
      </w:pPr>
      <w:r w:rsidRPr="0027385B">
        <w:rPr>
          <w:szCs w:val="24"/>
          <w:lang w:val="sv-SE"/>
        </w:rPr>
        <w:t>Det finns begränsad erfarenhet från behandling av patienter med leverinsufficiens (se avsnitt 4.3).</w:t>
      </w:r>
    </w:p>
    <w:p w14:paraId="2BF7124C" w14:textId="77777777" w:rsidR="00A67877" w:rsidRPr="0027385B" w:rsidRDefault="00A67877" w:rsidP="00A67877">
      <w:pPr>
        <w:widowControl/>
        <w:tabs>
          <w:tab w:val="clear" w:pos="567"/>
        </w:tabs>
        <w:rPr>
          <w:i/>
          <w:szCs w:val="24"/>
          <w:lang w:val="sv-SE"/>
        </w:rPr>
      </w:pPr>
    </w:p>
    <w:p w14:paraId="4085C73A" w14:textId="77777777" w:rsidR="00A67877" w:rsidRPr="00ED54E5" w:rsidRDefault="00A67877" w:rsidP="00A67877">
      <w:pPr>
        <w:keepNext/>
        <w:widowControl/>
        <w:tabs>
          <w:tab w:val="clear" w:pos="567"/>
        </w:tabs>
        <w:rPr>
          <w:i/>
          <w:szCs w:val="24"/>
          <w:lang w:val="sv-SE"/>
        </w:rPr>
      </w:pPr>
      <w:r w:rsidRPr="00ED54E5">
        <w:rPr>
          <w:i/>
          <w:szCs w:val="24"/>
          <w:lang w:val="sv-SE"/>
        </w:rPr>
        <w:t>Patienter med nedsatt njurfunktion</w:t>
      </w:r>
    </w:p>
    <w:p w14:paraId="6738C679" w14:textId="77777777" w:rsidR="00A67877" w:rsidRPr="0027385B" w:rsidRDefault="00A67877" w:rsidP="00A67877">
      <w:pPr>
        <w:widowControl/>
        <w:tabs>
          <w:tab w:val="clear" w:pos="567"/>
        </w:tabs>
        <w:rPr>
          <w:szCs w:val="24"/>
          <w:lang w:val="sv-SE"/>
        </w:rPr>
      </w:pPr>
      <w:r w:rsidRPr="00766ADA">
        <w:rPr>
          <w:bCs/>
          <w:iCs/>
          <w:szCs w:val="24"/>
          <w:lang w:val="sv-SE"/>
        </w:rPr>
        <w:t>Dygnsdosen 600 mg bör inte överskridas vid måttligt till gravt nedsatt njurfunktion (kreatinin</w:t>
      </w:r>
      <w:r w:rsidRPr="0027385B">
        <w:rPr>
          <w:szCs w:val="24"/>
          <w:lang w:val="sv-SE"/>
        </w:rPr>
        <w:t>clearance &lt;60 ml/min).</w:t>
      </w:r>
    </w:p>
    <w:p w14:paraId="0822F7F6" w14:textId="77777777" w:rsidR="00A67877" w:rsidRPr="0027385B" w:rsidRDefault="00A67877" w:rsidP="00A67877">
      <w:pPr>
        <w:widowControl/>
        <w:tabs>
          <w:tab w:val="clear" w:pos="567"/>
        </w:tabs>
        <w:rPr>
          <w:szCs w:val="24"/>
          <w:lang w:val="sv-SE"/>
        </w:rPr>
      </w:pPr>
    </w:p>
    <w:p w14:paraId="408F5057" w14:textId="77777777" w:rsidR="00A67877" w:rsidRPr="00ED54E5" w:rsidRDefault="00A67877" w:rsidP="00A67877">
      <w:pPr>
        <w:keepNext/>
        <w:widowControl/>
        <w:tabs>
          <w:tab w:val="clear" w:pos="567"/>
        </w:tabs>
        <w:rPr>
          <w:i/>
          <w:szCs w:val="24"/>
          <w:lang w:val="sv-SE"/>
        </w:rPr>
      </w:pPr>
      <w:r w:rsidRPr="00ED54E5">
        <w:rPr>
          <w:i/>
          <w:szCs w:val="24"/>
          <w:lang w:val="sv-SE"/>
        </w:rPr>
        <w:lastRenderedPageBreak/>
        <w:t>Pediatriska patienter</w:t>
      </w:r>
    </w:p>
    <w:p w14:paraId="5509E761" w14:textId="77777777" w:rsidR="00A67877" w:rsidRPr="0027385B" w:rsidRDefault="00A67877" w:rsidP="00A67877">
      <w:pPr>
        <w:widowControl/>
        <w:tabs>
          <w:tab w:val="clear" w:pos="567"/>
        </w:tabs>
        <w:rPr>
          <w:szCs w:val="24"/>
          <w:lang w:val="sv-SE"/>
        </w:rPr>
      </w:pPr>
      <w:r w:rsidRPr="0027385B">
        <w:rPr>
          <w:szCs w:val="24"/>
          <w:lang w:val="sv-SE"/>
        </w:rPr>
        <w:t>Behandling med Teveten rekommenderas ej för barn och ungdomar då data om effekt och säkerhet hos denna patientkategori saknas.</w:t>
      </w:r>
    </w:p>
    <w:p w14:paraId="77FE62E7" w14:textId="77777777" w:rsidR="00A67877" w:rsidRPr="0027385B" w:rsidRDefault="00A67877" w:rsidP="00A67877">
      <w:pPr>
        <w:widowControl/>
        <w:tabs>
          <w:tab w:val="clear" w:pos="567"/>
        </w:tabs>
        <w:rPr>
          <w:szCs w:val="24"/>
          <w:lang w:val="sv-SE"/>
        </w:rPr>
      </w:pPr>
    </w:p>
    <w:p w14:paraId="752542FB"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Kontraindikationer</w:t>
      </w:r>
    </w:p>
    <w:p w14:paraId="31879C2F" w14:textId="77777777" w:rsidR="00A67877" w:rsidRPr="0027385B" w:rsidRDefault="00A67877" w:rsidP="00A67877">
      <w:pPr>
        <w:widowControl/>
        <w:tabs>
          <w:tab w:val="clear" w:pos="567"/>
        </w:tabs>
        <w:rPr>
          <w:szCs w:val="24"/>
          <w:lang w:val="sv-SE"/>
        </w:rPr>
      </w:pPr>
    </w:p>
    <w:p w14:paraId="3A7F7A6F" w14:textId="77777777" w:rsidR="00A67877" w:rsidRPr="0027385B" w:rsidRDefault="00A67877" w:rsidP="00A67877">
      <w:pPr>
        <w:pStyle w:val="ListParagraph"/>
        <w:widowControl/>
        <w:numPr>
          <w:ilvl w:val="0"/>
          <w:numId w:val="13"/>
        </w:numPr>
        <w:tabs>
          <w:tab w:val="clear" w:pos="567"/>
        </w:tabs>
        <w:ind w:left="567" w:hanging="567"/>
        <w:rPr>
          <w:szCs w:val="24"/>
          <w:lang w:val="sv-SE"/>
        </w:rPr>
      </w:pPr>
      <w:r w:rsidRPr="0027385B">
        <w:rPr>
          <w:szCs w:val="24"/>
          <w:lang w:val="sv-SE"/>
        </w:rPr>
        <w:t xml:space="preserve">Överkänslighet mot eprosartan eller mot något hjälpämne. </w:t>
      </w:r>
    </w:p>
    <w:p w14:paraId="4788D97A" w14:textId="77777777" w:rsidR="00A67877" w:rsidRPr="0027385B" w:rsidRDefault="00A67877" w:rsidP="00A67877">
      <w:pPr>
        <w:pStyle w:val="ListParagraph"/>
        <w:widowControl/>
        <w:numPr>
          <w:ilvl w:val="0"/>
          <w:numId w:val="13"/>
        </w:numPr>
        <w:tabs>
          <w:tab w:val="clear" w:pos="567"/>
        </w:tabs>
        <w:ind w:left="567" w:hanging="567"/>
        <w:rPr>
          <w:szCs w:val="24"/>
          <w:lang w:val="sv-SE"/>
        </w:rPr>
      </w:pPr>
      <w:r w:rsidRPr="0027385B">
        <w:rPr>
          <w:szCs w:val="24"/>
          <w:lang w:val="sv-SE"/>
        </w:rPr>
        <w:t>Gravt nedsatt leverfunktion.</w:t>
      </w:r>
    </w:p>
    <w:p w14:paraId="680BFF66" w14:textId="77777777" w:rsidR="00A67877" w:rsidRPr="0027385B" w:rsidRDefault="00A67877" w:rsidP="00A67877">
      <w:pPr>
        <w:pStyle w:val="ListParagraph"/>
        <w:widowControl/>
        <w:numPr>
          <w:ilvl w:val="0"/>
          <w:numId w:val="13"/>
        </w:numPr>
        <w:tabs>
          <w:tab w:val="clear" w:pos="567"/>
        </w:tabs>
        <w:suppressAutoHyphens/>
        <w:ind w:left="567" w:hanging="567"/>
        <w:rPr>
          <w:szCs w:val="24"/>
          <w:lang w:val="sv-SE"/>
        </w:rPr>
      </w:pPr>
      <w:r w:rsidRPr="0027385B">
        <w:rPr>
          <w:szCs w:val="24"/>
          <w:lang w:val="sv-SE"/>
        </w:rPr>
        <w:t>Andra och tredje trimestern av graviditet (se avsnitt 4.4 och 4.6).</w:t>
      </w:r>
    </w:p>
    <w:p w14:paraId="2F51E358" w14:textId="77777777" w:rsidR="00A67877" w:rsidRPr="00414766" w:rsidRDefault="00A67877" w:rsidP="00A67877">
      <w:pPr>
        <w:pStyle w:val="ListParagraph"/>
        <w:widowControl/>
        <w:numPr>
          <w:ilvl w:val="0"/>
          <w:numId w:val="13"/>
        </w:numPr>
        <w:tabs>
          <w:tab w:val="clear" w:pos="567"/>
        </w:tabs>
        <w:suppressAutoHyphens/>
        <w:ind w:left="567" w:hanging="567"/>
        <w:rPr>
          <w:szCs w:val="24"/>
          <w:lang w:val="sv-SE"/>
        </w:rPr>
      </w:pPr>
      <w:r w:rsidRPr="00414766">
        <w:rPr>
          <w:szCs w:val="24"/>
          <w:lang w:val="sv-SE"/>
        </w:rPr>
        <w:t>Hemodynamiskt signifikant bilateral renovaskulär sjukdom eller allvarlig stenos av en ensam fungerande njure.</w:t>
      </w:r>
    </w:p>
    <w:p w14:paraId="738B6109" w14:textId="77777777" w:rsidR="00A67877" w:rsidRPr="00766ADA" w:rsidRDefault="00A67877" w:rsidP="00A67877">
      <w:pPr>
        <w:pStyle w:val="ListParagraph"/>
        <w:widowControl/>
        <w:numPr>
          <w:ilvl w:val="0"/>
          <w:numId w:val="13"/>
        </w:numPr>
        <w:tabs>
          <w:tab w:val="clear" w:pos="567"/>
        </w:tabs>
        <w:suppressAutoHyphens/>
        <w:ind w:left="567" w:hanging="567"/>
        <w:rPr>
          <w:szCs w:val="24"/>
          <w:lang w:val="sv-SE"/>
        </w:rPr>
      </w:pPr>
      <w:r w:rsidRPr="002F7873">
        <w:rPr>
          <w:szCs w:val="24"/>
          <w:lang w:val="sv-SE"/>
        </w:rPr>
        <w:t>Samtidig användning av Teveten och produkter som innehåller aliskiren är kontraindicerad hos patienter med diabetes mellitus eller nedsatt njurfunktion (GFR &lt; 60 ml/min/1,73 m</w:t>
      </w:r>
      <w:r w:rsidRPr="00766ADA">
        <w:rPr>
          <w:szCs w:val="24"/>
          <w:vertAlign w:val="superscript"/>
          <w:lang w:val="sv-SE"/>
        </w:rPr>
        <w:t>2</w:t>
      </w:r>
      <w:r w:rsidRPr="00766ADA">
        <w:rPr>
          <w:szCs w:val="24"/>
          <w:lang w:val="sv-SE"/>
        </w:rPr>
        <w:t>) (se avsnitt 4.5 och 5.1).</w:t>
      </w:r>
    </w:p>
    <w:p w14:paraId="45168DB5" w14:textId="77777777" w:rsidR="00A67877" w:rsidRPr="0027385B" w:rsidRDefault="00A67877" w:rsidP="00A67877">
      <w:pPr>
        <w:widowControl/>
        <w:tabs>
          <w:tab w:val="clear" w:pos="567"/>
        </w:tabs>
        <w:suppressAutoHyphens/>
        <w:rPr>
          <w:szCs w:val="24"/>
          <w:lang w:val="sv-SE"/>
        </w:rPr>
      </w:pPr>
    </w:p>
    <w:p w14:paraId="0D4720EA"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Varningar och försiktighet</w:t>
      </w:r>
    </w:p>
    <w:p w14:paraId="7CC66168" w14:textId="77777777" w:rsidR="00A67877" w:rsidRPr="0027385B" w:rsidRDefault="00A67877" w:rsidP="00A67877">
      <w:pPr>
        <w:widowControl/>
        <w:tabs>
          <w:tab w:val="clear" w:pos="567"/>
        </w:tabs>
        <w:rPr>
          <w:b/>
          <w:szCs w:val="24"/>
          <w:lang w:val="sv-SE"/>
        </w:rPr>
      </w:pPr>
    </w:p>
    <w:p w14:paraId="6193E005" w14:textId="77777777" w:rsidR="00A67877" w:rsidRPr="0027385B" w:rsidRDefault="00A67877" w:rsidP="00A67877">
      <w:pPr>
        <w:widowControl/>
        <w:tabs>
          <w:tab w:val="clear" w:pos="567"/>
        </w:tabs>
        <w:rPr>
          <w:bCs/>
          <w:i/>
          <w:iCs/>
          <w:szCs w:val="24"/>
          <w:lang w:val="sv-SE"/>
        </w:rPr>
      </w:pPr>
      <w:r w:rsidRPr="0027385B">
        <w:rPr>
          <w:bCs/>
          <w:i/>
          <w:iCs/>
          <w:szCs w:val="24"/>
          <w:lang w:val="sv-SE"/>
        </w:rPr>
        <w:t>Nedsatt leverfunktion</w:t>
      </w:r>
    </w:p>
    <w:p w14:paraId="010608CC" w14:textId="77777777" w:rsidR="00A67877" w:rsidRPr="0027385B" w:rsidRDefault="00A67877" w:rsidP="00A67877">
      <w:pPr>
        <w:widowControl/>
        <w:tabs>
          <w:tab w:val="clear" w:pos="567"/>
        </w:tabs>
        <w:textAlignment w:val="top"/>
        <w:rPr>
          <w:szCs w:val="24"/>
          <w:lang w:val="sv-SE"/>
        </w:rPr>
      </w:pPr>
      <w:r w:rsidRPr="0027385B">
        <w:rPr>
          <w:szCs w:val="24"/>
          <w:lang w:val="sv-SE"/>
        </w:rPr>
        <w:t xml:space="preserve">När </w:t>
      </w:r>
      <w:r>
        <w:rPr>
          <w:szCs w:val="24"/>
          <w:lang w:val="sv-SE"/>
        </w:rPr>
        <w:t>e</w:t>
      </w:r>
      <w:r w:rsidRPr="0027385B">
        <w:rPr>
          <w:szCs w:val="24"/>
          <w:lang w:val="sv-SE"/>
        </w:rPr>
        <w:t>prosartan används till patienter med mild till måttligt nedsatt leverfunktion, bör särskild försiktighet iakttas på grund av att det finns begränsad erfarenhet hos denna patientgrupp.</w:t>
      </w:r>
    </w:p>
    <w:p w14:paraId="5F8C1994" w14:textId="77777777" w:rsidR="00A67877" w:rsidRPr="0027385B" w:rsidRDefault="00A67877" w:rsidP="00A67877">
      <w:pPr>
        <w:widowControl/>
        <w:tabs>
          <w:tab w:val="clear" w:pos="567"/>
        </w:tabs>
        <w:rPr>
          <w:i/>
          <w:szCs w:val="24"/>
          <w:lang w:val="sv-SE"/>
        </w:rPr>
      </w:pPr>
    </w:p>
    <w:p w14:paraId="1CBE27B3" w14:textId="77777777" w:rsidR="00A67877" w:rsidRPr="0027385B" w:rsidRDefault="00A67877" w:rsidP="00A67877">
      <w:pPr>
        <w:widowControl/>
        <w:tabs>
          <w:tab w:val="clear" w:pos="567"/>
        </w:tabs>
        <w:rPr>
          <w:bCs/>
          <w:i/>
          <w:iCs/>
          <w:szCs w:val="24"/>
          <w:lang w:val="sv-SE"/>
        </w:rPr>
      </w:pPr>
      <w:r w:rsidRPr="0027385B">
        <w:rPr>
          <w:bCs/>
          <w:i/>
          <w:iCs/>
          <w:szCs w:val="24"/>
          <w:lang w:val="sv-SE"/>
        </w:rPr>
        <w:t>Nedsatt njurfunktion</w:t>
      </w:r>
    </w:p>
    <w:p w14:paraId="4605B04E" w14:textId="77777777" w:rsidR="00A67877" w:rsidRPr="0027385B" w:rsidRDefault="00A67877" w:rsidP="00A67877">
      <w:pPr>
        <w:widowControl/>
        <w:tabs>
          <w:tab w:val="clear" w:pos="567"/>
        </w:tabs>
        <w:rPr>
          <w:szCs w:val="24"/>
          <w:lang w:val="sv-SE"/>
        </w:rPr>
      </w:pPr>
      <w:r w:rsidRPr="0027385B">
        <w:rPr>
          <w:szCs w:val="24"/>
          <w:lang w:val="sv-SE"/>
        </w:rPr>
        <w:t xml:space="preserve">Ingen dosjustering erfordras vid lätt till måttligt försämrad njurfunktion (kreatininclearance </w:t>
      </w:r>
      <w:r w:rsidRPr="0027385B">
        <w:rPr>
          <w:szCs w:val="24"/>
          <w:u w:val="single"/>
          <w:lang w:val="sv-SE"/>
        </w:rPr>
        <w:t>&gt;</w:t>
      </w:r>
      <w:r w:rsidRPr="0027385B">
        <w:rPr>
          <w:szCs w:val="24"/>
          <w:lang w:val="sv-SE"/>
        </w:rPr>
        <w:t xml:space="preserve">30 ml/min). </w:t>
      </w:r>
      <w:r w:rsidRPr="001F6BB3">
        <w:rPr>
          <w:szCs w:val="24"/>
          <w:lang w:val="sv-SE"/>
        </w:rPr>
        <w:t>Eprosartan</w:t>
      </w:r>
      <w:r w:rsidRPr="001F6BB3" w:rsidDel="001F6BB3">
        <w:rPr>
          <w:szCs w:val="24"/>
          <w:lang w:val="sv-SE"/>
        </w:rPr>
        <w:t xml:space="preserve"> </w:t>
      </w:r>
      <w:r w:rsidRPr="0027385B">
        <w:rPr>
          <w:szCs w:val="24"/>
          <w:lang w:val="sv-SE"/>
        </w:rPr>
        <w:t xml:space="preserve">skall användas med försiktighet till patienter med kreatininclearance &lt;30 ml/min eller till patienter som genomgår dialys. </w:t>
      </w:r>
    </w:p>
    <w:p w14:paraId="6349759A" w14:textId="77777777" w:rsidR="00A67877" w:rsidRPr="0027385B" w:rsidRDefault="00A67877" w:rsidP="00A67877">
      <w:pPr>
        <w:widowControl/>
        <w:tabs>
          <w:tab w:val="clear" w:pos="567"/>
        </w:tabs>
        <w:rPr>
          <w:i/>
          <w:szCs w:val="24"/>
          <w:lang w:val="sv-SE"/>
        </w:rPr>
      </w:pPr>
    </w:p>
    <w:p w14:paraId="143189E9" w14:textId="77777777" w:rsidR="00A67877" w:rsidRPr="0027385B" w:rsidRDefault="00A67877" w:rsidP="00A67877">
      <w:pPr>
        <w:widowControl/>
        <w:tabs>
          <w:tab w:val="clear" w:pos="567"/>
        </w:tabs>
        <w:rPr>
          <w:i/>
          <w:iCs/>
          <w:szCs w:val="24"/>
          <w:lang w:val="sv-SE"/>
        </w:rPr>
      </w:pPr>
      <w:r w:rsidRPr="0027385B">
        <w:rPr>
          <w:i/>
          <w:iCs/>
          <w:szCs w:val="24"/>
          <w:lang w:val="sv-SE"/>
        </w:rPr>
        <w:t>Patienter beroende av renin-angiotensin-aldosteronsystemet</w:t>
      </w:r>
    </w:p>
    <w:p w14:paraId="4B8477E0" w14:textId="77777777" w:rsidR="00A67877" w:rsidRPr="0027385B" w:rsidRDefault="00A67877" w:rsidP="00A67877">
      <w:pPr>
        <w:widowControl/>
        <w:tabs>
          <w:tab w:val="clear" w:pos="567"/>
        </w:tabs>
        <w:textAlignment w:val="top"/>
        <w:rPr>
          <w:szCs w:val="24"/>
          <w:lang w:val="sv-SE"/>
        </w:rPr>
      </w:pPr>
      <w:r w:rsidRPr="0027385B">
        <w:rPr>
          <w:szCs w:val="24"/>
          <w:lang w:val="sv-SE"/>
        </w:rPr>
        <w:t xml:space="preserve">Vissa patienter vars njurfunktion är beroende av en fortsatt aktivitet i renin-angiotensin-aldosteron-systemet (t.ex. patienter med svår hjärtsvikt [NYHA-klassificering: Klass IV], bilateral njurartärstenos eller njurartärstenos i en kvarvarande njure), löper risken att utveckla oliguri och / eller progressiv azotemi och i sällsynta fall akut njursvikt under behandling med angiotensin converting enzyme (ACE)-hämmare. Uppkomsten av detta är mer sannolikt hos patienter som samtidigt behandlas med diuretika. </w:t>
      </w:r>
      <w:r w:rsidRPr="006C05B5">
        <w:rPr>
          <w:szCs w:val="22"/>
          <w:lang w:val="sv-SE"/>
        </w:rPr>
        <w:t>Det finns inte tillräcklig terapeutisk</w:t>
      </w:r>
      <w:r>
        <w:rPr>
          <w:szCs w:val="22"/>
          <w:lang w:val="sv-SE"/>
        </w:rPr>
        <w:t xml:space="preserve"> erfarenhet för att avgöra om a</w:t>
      </w:r>
      <w:r w:rsidRPr="006C05B5">
        <w:rPr>
          <w:szCs w:val="22"/>
          <w:lang w:val="sv-SE"/>
        </w:rPr>
        <w:t>ngiotensin II- blockerare såsom eprosartan</w:t>
      </w:r>
      <w:r w:rsidRPr="0027385B" w:rsidDel="00861499">
        <w:rPr>
          <w:szCs w:val="24"/>
          <w:lang w:val="sv-SE"/>
        </w:rPr>
        <w:t xml:space="preserve"> </w:t>
      </w:r>
      <w:r w:rsidRPr="006C05B5">
        <w:rPr>
          <w:szCs w:val="22"/>
          <w:lang w:val="sv-SE"/>
        </w:rPr>
        <w:t xml:space="preserve">kan orsaka </w:t>
      </w:r>
      <w:r w:rsidRPr="0027385B">
        <w:rPr>
          <w:szCs w:val="24"/>
          <w:lang w:val="sv-SE"/>
        </w:rPr>
        <w:t>en liknande risk att utveckla njurfunktions nedsättning hos dessa mottagliga patienter. När eprosartan ska användas till patienter med nedsatt njurfunktion, bör njurfunktionen utvärderas innan behandling med eprosartan och i intervaller under behandlingsperioden. Om försämring av njurfunktionen observeras under behandlingen, ska behandlingen med eprosartan omprövas.</w:t>
      </w:r>
      <w:r>
        <w:rPr>
          <w:szCs w:val="24"/>
          <w:lang w:val="sv-SE"/>
        </w:rPr>
        <w:t xml:space="preserve"> </w:t>
      </w:r>
    </w:p>
    <w:p w14:paraId="33F7AA1D" w14:textId="77777777" w:rsidR="00A67877" w:rsidRPr="0027385B" w:rsidRDefault="00A67877" w:rsidP="00A67877">
      <w:pPr>
        <w:widowControl/>
        <w:tabs>
          <w:tab w:val="clear" w:pos="567"/>
        </w:tabs>
        <w:rPr>
          <w:szCs w:val="24"/>
          <w:lang w:val="sv-SE"/>
        </w:rPr>
      </w:pPr>
    </w:p>
    <w:p w14:paraId="3F45D6ED" w14:textId="77777777" w:rsidR="00A67877" w:rsidRPr="0027385B" w:rsidRDefault="00A67877" w:rsidP="00A67877">
      <w:pPr>
        <w:widowControl/>
        <w:tabs>
          <w:tab w:val="clear" w:pos="567"/>
        </w:tabs>
        <w:rPr>
          <w:szCs w:val="24"/>
          <w:lang w:val="sv-SE"/>
        </w:rPr>
      </w:pPr>
      <w:r w:rsidRPr="0027385B">
        <w:rPr>
          <w:szCs w:val="24"/>
          <w:lang w:val="sv-SE"/>
        </w:rPr>
        <w:t>Nedanstående försiktighetsåtgärder är baserade på erfarenhet med andra läkemedel i samma klass samt ACE-hämmare:</w:t>
      </w:r>
    </w:p>
    <w:p w14:paraId="75532B5E" w14:textId="77777777" w:rsidR="00A67877" w:rsidRPr="0027385B" w:rsidRDefault="00A67877" w:rsidP="00A67877">
      <w:pPr>
        <w:widowControl/>
        <w:tabs>
          <w:tab w:val="clear" w:pos="567"/>
        </w:tabs>
        <w:rPr>
          <w:szCs w:val="24"/>
          <w:lang w:val="sv-SE"/>
        </w:rPr>
      </w:pPr>
    </w:p>
    <w:p w14:paraId="12B3BD39" w14:textId="77777777" w:rsidR="00A67877" w:rsidRPr="0027385B" w:rsidRDefault="00A67877" w:rsidP="00A67877">
      <w:pPr>
        <w:widowControl/>
        <w:tabs>
          <w:tab w:val="clear" w:pos="567"/>
        </w:tabs>
        <w:rPr>
          <w:bCs/>
          <w:i/>
          <w:iCs/>
          <w:szCs w:val="24"/>
          <w:lang w:val="sv-SE"/>
        </w:rPr>
      </w:pPr>
      <w:r w:rsidRPr="0027385B">
        <w:rPr>
          <w:bCs/>
          <w:i/>
          <w:iCs/>
          <w:szCs w:val="24"/>
          <w:lang w:val="sv-SE"/>
        </w:rPr>
        <w:t>Hyperkalemi</w:t>
      </w:r>
    </w:p>
    <w:p w14:paraId="146EE1CA" w14:textId="77777777" w:rsidR="00A67877" w:rsidRPr="0027385B" w:rsidRDefault="00A67877" w:rsidP="00A67877">
      <w:pPr>
        <w:widowControl/>
        <w:tabs>
          <w:tab w:val="clear" w:pos="567"/>
        </w:tabs>
        <w:rPr>
          <w:szCs w:val="24"/>
          <w:lang w:val="sv-SE"/>
        </w:rPr>
      </w:pPr>
      <w:r w:rsidRPr="0027385B">
        <w:rPr>
          <w:szCs w:val="24"/>
          <w:lang w:val="sv-SE"/>
        </w:rPr>
        <w:t>Vid behandling med andra läkemedel som påverkar renin-angiotensin-aldosteron systemet kan hyperkalemi inträffa, speciellt vid nedsatt njurfunktion och/eller hjärtsvikt. Adekvat kontroll av serumkaliumnivåerna hos riskpatienter rekommenderas.</w:t>
      </w:r>
    </w:p>
    <w:p w14:paraId="7CD8D10E" w14:textId="77777777" w:rsidR="00A67877" w:rsidRPr="0027385B" w:rsidRDefault="00A67877" w:rsidP="00A67877">
      <w:pPr>
        <w:widowControl/>
        <w:tabs>
          <w:tab w:val="clear" w:pos="567"/>
        </w:tabs>
        <w:rPr>
          <w:szCs w:val="24"/>
          <w:lang w:val="sv-SE"/>
        </w:rPr>
      </w:pPr>
    </w:p>
    <w:p w14:paraId="24D8FBA7" w14:textId="77777777" w:rsidR="00A67877" w:rsidRPr="0027385B" w:rsidRDefault="00A67877" w:rsidP="00A67877">
      <w:pPr>
        <w:widowControl/>
        <w:tabs>
          <w:tab w:val="clear" w:pos="567"/>
        </w:tabs>
        <w:rPr>
          <w:szCs w:val="24"/>
          <w:lang w:val="sv-SE"/>
        </w:rPr>
      </w:pPr>
      <w:r w:rsidRPr="00B45370">
        <w:rPr>
          <w:szCs w:val="24"/>
          <w:lang w:val="sv-SE"/>
        </w:rPr>
        <w:t xml:space="preserve">Baserat på erfarenhet av användning av andra läkemedel som påverkar renin-angiotensin-systemet kan </w:t>
      </w:r>
      <w:r>
        <w:rPr>
          <w:szCs w:val="24"/>
          <w:lang w:val="sv-SE"/>
        </w:rPr>
        <w:t>s</w:t>
      </w:r>
      <w:r w:rsidRPr="0027385B">
        <w:rPr>
          <w:szCs w:val="24"/>
          <w:lang w:val="sv-SE"/>
        </w:rPr>
        <w:t>amtidig behandling med kaliumsparande diuretika, kaliumsupplement, saltersättningsmedel som innehåller kalium eller andra läkemedel som höjer kaliumnivåerna (t.ex. heparin</w:t>
      </w:r>
      <w:r w:rsidR="00540FED">
        <w:rPr>
          <w:szCs w:val="24"/>
          <w:lang w:val="sv-SE"/>
        </w:rPr>
        <w:t xml:space="preserve">, </w:t>
      </w:r>
      <w:r w:rsidR="00540FED" w:rsidRPr="00ED54E5">
        <w:rPr>
          <w:szCs w:val="24"/>
          <w:lang w:val="sv-SE"/>
        </w:rPr>
        <w:t>trimetoprim innehållande läkemedel</w:t>
      </w:r>
      <w:r w:rsidRPr="0027385B">
        <w:rPr>
          <w:szCs w:val="24"/>
          <w:lang w:val="sv-SE"/>
        </w:rPr>
        <w:t xml:space="preserve">) leda till ökade kaliumnivåer. Försiktighet bör därför iakttagas vid samtidig användning av </w:t>
      </w:r>
      <w:r w:rsidRPr="00B45370">
        <w:rPr>
          <w:szCs w:val="24"/>
          <w:lang w:val="sv-SE"/>
        </w:rPr>
        <w:t>Teveten och dessa substanser.</w:t>
      </w:r>
      <w:r>
        <w:rPr>
          <w:szCs w:val="24"/>
          <w:lang w:val="sv-SE"/>
        </w:rPr>
        <w:t xml:space="preserve"> </w:t>
      </w:r>
    </w:p>
    <w:p w14:paraId="333AE8FF" w14:textId="77777777" w:rsidR="00A67877" w:rsidRPr="0027385B" w:rsidRDefault="00A67877" w:rsidP="00A67877">
      <w:pPr>
        <w:widowControl/>
        <w:tabs>
          <w:tab w:val="clear" w:pos="567"/>
        </w:tabs>
        <w:autoSpaceDE w:val="0"/>
        <w:autoSpaceDN w:val="0"/>
        <w:adjustRightInd w:val="0"/>
        <w:jc w:val="both"/>
        <w:rPr>
          <w:szCs w:val="24"/>
          <w:lang w:val="sv-SE"/>
        </w:rPr>
      </w:pPr>
    </w:p>
    <w:p w14:paraId="7609425E" w14:textId="77777777" w:rsidR="00A67877" w:rsidRPr="0027385B" w:rsidRDefault="00A67877" w:rsidP="00A67877">
      <w:pPr>
        <w:widowControl/>
        <w:tabs>
          <w:tab w:val="clear" w:pos="567"/>
        </w:tabs>
        <w:autoSpaceDE w:val="0"/>
        <w:autoSpaceDN w:val="0"/>
        <w:adjustRightInd w:val="0"/>
        <w:jc w:val="both"/>
        <w:rPr>
          <w:i/>
          <w:szCs w:val="24"/>
          <w:lang w:val="sv-SE"/>
        </w:rPr>
      </w:pPr>
      <w:r w:rsidRPr="0027385B">
        <w:rPr>
          <w:i/>
          <w:szCs w:val="24"/>
          <w:lang w:val="sv-SE"/>
        </w:rPr>
        <w:t xml:space="preserve">Dubbel blockad av renin-angiotensin-aldosteron-systemet (RAAS) </w:t>
      </w:r>
    </w:p>
    <w:p w14:paraId="5C441824" w14:textId="77777777" w:rsidR="00A67877" w:rsidRPr="0027385B" w:rsidRDefault="00A67877" w:rsidP="00A67877">
      <w:pPr>
        <w:widowControl/>
        <w:tabs>
          <w:tab w:val="clear" w:pos="567"/>
        </w:tabs>
        <w:autoSpaceDE w:val="0"/>
        <w:autoSpaceDN w:val="0"/>
        <w:adjustRightInd w:val="0"/>
        <w:jc w:val="both"/>
        <w:rPr>
          <w:szCs w:val="24"/>
          <w:lang w:val="sv-SE"/>
        </w:rPr>
      </w:pPr>
      <w:r w:rsidRPr="0027385B">
        <w:rPr>
          <w:szCs w:val="24"/>
          <w:lang w:val="sv-SE"/>
        </w:rPr>
        <w:t xml:space="preserve">Det har visats att samtidig användning av ACE-hämmare, angiotensin II-receptorblockerare eller aliskiren ökar risken för hypotoni, hyperkalemi och nedsatt njurfunktion (inklusive akut njursvikt). </w:t>
      </w:r>
      <w:r w:rsidRPr="0027385B">
        <w:rPr>
          <w:szCs w:val="24"/>
          <w:lang w:val="sv-SE"/>
        </w:rPr>
        <w:lastRenderedPageBreak/>
        <w:t xml:space="preserve">Dubbel blockad av RAAS via kombinerad användning av ACE-hämmare, angiotensin II-receptorblockerare eller aliskiren rekommenderas därför inte (se avsnitt 4.5 och 5.1). </w:t>
      </w:r>
    </w:p>
    <w:p w14:paraId="3B5F10FE" w14:textId="77777777" w:rsidR="00A67877" w:rsidRPr="0027385B" w:rsidRDefault="00A67877" w:rsidP="00A67877">
      <w:pPr>
        <w:widowControl/>
        <w:tabs>
          <w:tab w:val="clear" w:pos="567"/>
        </w:tabs>
        <w:autoSpaceDE w:val="0"/>
        <w:autoSpaceDN w:val="0"/>
        <w:adjustRightInd w:val="0"/>
        <w:jc w:val="both"/>
        <w:rPr>
          <w:szCs w:val="24"/>
          <w:lang w:val="sv-SE"/>
        </w:rPr>
      </w:pPr>
      <w:r w:rsidRPr="0027385B">
        <w:rPr>
          <w:szCs w:val="24"/>
          <w:lang w:val="sv-SE"/>
        </w:rPr>
        <w:t xml:space="preserve">Om det anses vara absolut nödvändigt med dubbel blockad får detta endast utföras under övervakning av en specialist, och patienten ska stå under regelbunden, noggrann övervakning av njurfunktion, elektrolyter och blodtryck. </w:t>
      </w:r>
    </w:p>
    <w:p w14:paraId="491BBA0A" w14:textId="77777777" w:rsidR="00A67877" w:rsidRPr="0027385B" w:rsidRDefault="00A67877" w:rsidP="00A67877">
      <w:pPr>
        <w:widowControl/>
        <w:tabs>
          <w:tab w:val="clear" w:pos="567"/>
        </w:tabs>
        <w:rPr>
          <w:szCs w:val="24"/>
          <w:lang w:val="sv-SE"/>
        </w:rPr>
      </w:pPr>
      <w:r w:rsidRPr="0027385B">
        <w:rPr>
          <w:szCs w:val="24"/>
          <w:lang w:val="sv-SE"/>
        </w:rPr>
        <w:t>ACE-hämmare och angiotensin II-receptorblockerare bör inte användas samtidigt hos patienter med diabetesnefropati.</w:t>
      </w:r>
    </w:p>
    <w:p w14:paraId="47BCDC56" w14:textId="77777777" w:rsidR="00A67877" w:rsidRPr="0027385B" w:rsidRDefault="00A67877" w:rsidP="00A67877">
      <w:pPr>
        <w:widowControl/>
        <w:tabs>
          <w:tab w:val="clear" w:pos="567"/>
        </w:tabs>
        <w:rPr>
          <w:szCs w:val="24"/>
          <w:lang w:val="sv-SE"/>
        </w:rPr>
      </w:pPr>
    </w:p>
    <w:p w14:paraId="335DACC1" w14:textId="77777777" w:rsidR="00A67877" w:rsidRPr="0027385B" w:rsidRDefault="00A67877" w:rsidP="00A67877">
      <w:pPr>
        <w:widowControl/>
        <w:tabs>
          <w:tab w:val="clear" w:pos="567"/>
        </w:tabs>
        <w:rPr>
          <w:bCs/>
          <w:i/>
          <w:iCs/>
          <w:szCs w:val="24"/>
          <w:lang w:val="sv-SE"/>
        </w:rPr>
      </w:pPr>
      <w:r w:rsidRPr="0027385B">
        <w:rPr>
          <w:bCs/>
          <w:i/>
          <w:iCs/>
          <w:szCs w:val="24"/>
          <w:lang w:val="sv-SE"/>
        </w:rPr>
        <w:t>Primär hyperaldosteronism</w:t>
      </w:r>
    </w:p>
    <w:p w14:paraId="2BB935F7" w14:textId="77777777" w:rsidR="00A67877" w:rsidRPr="0027385B" w:rsidRDefault="00A67877" w:rsidP="00A67877">
      <w:pPr>
        <w:widowControl/>
        <w:tabs>
          <w:tab w:val="clear" w:pos="567"/>
        </w:tabs>
        <w:rPr>
          <w:szCs w:val="24"/>
          <w:lang w:val="sv-SE"/>
        </w:rPr>
      </w:pPr>
      <w:r w:rsidRPr="0027385B">
        <w:rPr>
          <w:szCs w:val="24"/>
          <w:lang w:val="sv-SE"/>
        </w:rPr>
        <w:t xml:space="preserve">Behandling med </w:t>
      </w:r>
      <w:r w:rsidRPr="00766ADA">
        <w:rPr>
          <w:lang w:val="sv-SE"/>
        </w:rPr>
        <w:t>eprosartan</w:t>
      </w:r>
      <w:r w:rsidRPr="0027385B">
        <w:rPr>
          <w:szCs w:val="24"/>
          <w:lang w:val="sv-SE"/>
        </w:rPr>
        <w:t xml:space="preserve"> rekommenderas inte för dessa patienter.</w:t>
      </w:r>
    </w:p>
    <w:p w14:paraId="7B581400" w14:textId="77777777" w:rsidR="00A67877" w:rsidRPr="0027385B" w:rsidRDefault="00A67877" w:rsidP="00A67877">
      <w:pPr>
        <w:widowControl/>
        <w:tabs>
          <w:tab w:val="clear" w:pos="567"/>
        </w:tabs>
        <w:rPr>
          <w:szCs w:val="24"/>
          <w:lang w:val="sv-SE"/>
        </w:rPr>
      </w:pPr>
    </w:p>
    <w:p w14:paraId="7D044AF1" w14:textId="77777777" w:rsidR="00A67877" w:rsidRPr="0027385B" w:rsidRDefault="00A67877" w:rsidP="00A67877">
      <w:pPr>
        <w:widowControl/>
        <w:tabs>
          <w:tab w:val="clear" w:pos="567"/>
        </w:tabs>
        <w:rPr>
          <w:bCs/>
          <w:i/>
          <w:iCs/>
          <w:szCs w:val="24"/>
          <w:lang w:val="sv-SE"/>
        </w:rPr>
      </w:pPr>
      <w:r w:rsidRPr="0027385B">
        <w:rPr>
          <w:bCs/>
          <w:i/>
          <w:iCs/>
          <w:szCs w:val="24"/>
          <w:lang w:val="sv-SE"/>
        </w:rPr>
        <w:t>Hypotension</w:t>
      </w:r>
    </w:p>
    <w:p w14:paraId="28BC0500" w14:textId="77777777" w:rsidR="00A67877" w:rsidRPr="0027385B" w:rsidRDefault="00A67877" w:rsidP="00A67877">
      <w:pPr>
        <w:widowControl/>
        <w:tabs>
          <w:tab w:val="clear" w:pos="567"/>
        </w:tabs>
        <w:rPr>
          <w:szCs w:val="24"/>
          <w:lang w:val="sv-SE"/>
        </w:rPr>
      </w:pPr>
      <w:r w:rsidRPr="0027385B">
        <w:rPr>
          <w:szCs w:val="24"/>
          <w:lang w:val="sv-SE"/>
        </w:rPr>
        <w:t xml:space="preserve">Symtomatisk hypotension kan uppträda hos dehydrerade patienter och/eller patienter med stora saltförluster (t.ex. vid behandling med höga doser diuretika). Dessa tillstånd skall korrigeras innan behandlingen </w:t>
      </w:r>
      <w:r w:rsidRPr="00B45370">
        <w:rPr>
          <w:szCs w:val="24"/>
          <w:lang w:val="sv-SE"/>
        </w:rPr>
        <w:t xml:space="preserve">med Teveten </w:t>
      </w:r>
      <w:r w:rsidRPr="0027385B">
        <w:rPr>
          <w:szCs w:val="24"/>
          <w:lang w:val="sv-SE"/>
        </w:rPr>
        <w:t>påbörjas.</w:t>
      </w:r>
    </w:p>
    <w:p w14:paraId="501897CE" w14:textId="77777777" w:rsidR="00A67877" w:rsidRPr="0027385B" w:rsidRDefault="00A67877" w:rsidP="00A67877">
      <w:pPr>
        <w:widowControl/>
        <w:tabs>
          <w:tab w:val="clear" w:pos="567"/>
        </w:tabs>
        <w:rPr>
          <w:szCs w:val="24"/>
          <w:lang w:val="sv-SE"/>
        </w:rPr>
      </w:pPr>
    </w:p>
    <w:p w14:paraId="5A84ACA0" w14:textId="77777777" w:rsidR="00A67877" w:rsidRPr="0027385B" w:rsidRDefault="00A67877" w:rsidP="00A67877">
      <w:pPr>
        <w:widowControl/>
        <w:tabs>
          <w:tab w:val="clear" w:pos="567"/>
        </w:tabs>
        <w:rPr>
          <w:bCs/>
          <w:i/>
          <w:iCs/>
          <w:szCs w:val="24"/>
          <w:lang w:val="sv-SE"/>
        </w:rPr>
      </w:pPr>
      <w:r w:rsidRPr="0027385B">
        <w:rPr>
          <w:bCs/>
          <w:i/>
          <w:iCs/>
          <w:szCs w:val="24"/>
          <w:lang w:val="sv-SE"/>
        </w:rPr>
        <w:t>Koronar hjärtsjukdom</w:t>
      </w:r>
    </w:p>
    <w:p w14:paraId="2EDF5A75" w14:textId="77777777" w:rsidR="00A67877" w:rsidRPr="0027385B" w:rsidRDefault="00A67877" w:rsidP="00A67877">
      <w:pPr>
        <w:widowControl/>
        <w:tabs>
          <w:tab w:val="clear" w:pos="567"/>
        </w:tabs>
        <w:rPr>
          <w:szCs w:val="24"/>
          <w:lang w:val="sv-SE"/>
        </w:rPr>
      </w:pPr>
      <w:r w:rsidRPr="0027385B">
        <w:rPr>
          <w:szCs w:val="24"/>
          <w:lang w:val="sv-SE"/>
        </w:rPr>
        <w:t>Det finns begränsad erfarenhet från behandling av patienter med koronar hjärtsjukdom.</w:t>
      </w:r>
    </w:p>
    <w:p w14:paraId="499DF64C" w14:textId="77777777" w:rsidR="00A67877" w:rsidRPr="0027385B" w:rsidRDefault="00A67877" w:rsidP="00A67877">
      <w:pPr>
        <w:widowControl/>
        <w:tabs>
          <w:tab w:val="clear" w:pos="567"/>
        </w:tabs>
        <w:rPr>
          <w:szCs w:val="24"/>
          <w:lang w:val="sv-SE"/>
        </w:rPr>
      </w:pPr>
    </w:p>
    <w:p w14:paraId="4BFE9980" w14:textId="77777777" w:rsidR="00A67877" w:rsidRPr="0027385B" w:rsidRDefault="00A67877" w:rsidP="00A67877">
      <w:pPr>
        <w:widowControl/>
        <w:tabs>
          <w:tab w:val="clear" w:pos="567"/>
        </w:tabs>
        <w:rPr>
          <w:bCs/>
          <w:i/>
          <w:iCs/>
          <w:szCs w:val="24"/>
          <w:lang w:val="sv-SE"/>
        </w:rPr>
      </w:pPr>
      <w:r w:rsidRPr="0027385B">
        <w:rPr>
          <w:bCs/>
          <w:i/>
          <w:iCs/>
          <w:szCs w:val="24"/>
          <w:lang w:val="sv-SE"/>
        </w:rPr>
        <w:t>Aorta- och mitralisklaffstenos, hypertrofisk kardiomyopati</w:t>
      </w:r>
    </w:p>
    <w:p w14:paraId="01539FD1" w14:textId="77777777" w:rsidR="00A67877" w:rsidRPr="0027385B" w:rsidRDefault="00A67877" w:rsidP="00A67877">
      <w:pPr>
        <w:widowControl/>
        <w:tabs>
          <w:tab w:val="clear" w:pos="567"/>
        </w:tabs>
        <w:rPr>
          <w:szCs w:val="24"/>
          <w:lang w:val="sv-SE"/>
        </w:rPr>
      </w:pPr>
      <w:r w:rsidRPr="0027385B">
        <w:rPr>
          <w:szCs w:val="24"/>
          <w:lang w:val="sv-SE"/>
        </w:rPr>
        <w:t xml:space="preserve">Som med </w:t>
      </w:r>
      <w:r>
        <w:rPr>
          <w:szCs w:val="24"/>
          <w:lang w:val="sv-SE"/>
        </w:rPr>
        <w:t xml:space="preserve">alla </w:t>
      </w:r>
      <w:r w:rsidRPr="0027385B">
        <w:rPr>
          <w:szCs w:val="24"/>
          <w:lang w:val="sv-SE"/>
        </w:rPr>
        <w:t>vasodilaterande medel skall försiktighet iakttas vid aorta- och mitralisklaffstenos eller vid hypertrofisk kardiomyopati.</w:t>
      </w:r>
    </w:p>
    <w:p w14:paraId="0026C004" w14:textId="77777777" w:rsidR="00A67877" w:rsidRPr="0027385B" w:rsidRDefault="00A67877" w:rsidP="00A67877">
      <w:pPr>
        <w:widowControl/>
        <w:tabs>
          <w:tab w:val="clear" w:pos="567"/>
        </w:tabs>
        <w:rPr>
          <w:szCs w:val="24"/>
          <w:lang w:val="sv-SE"/>
        </w:rPr>
      </w:pPr>
    </w:p>
    <w:p w14:paraId="69A0F793" w14:textId="77777777" w:rsidR="00A67877" w:rsidRPr="0027385B" w:rsidRDefault="00A67877" w:rsidP="00A67877">
      <w:pPr>
        <w:widowControl/>
        <w:tabs>
          <w:tab w:val="clear" w:pos="567"/>
        </w:tabs>
        <w:rPr>
          <w:bCs/>
          <w:i/>
          <w:iCs/>
          <w:szCs w:val="24"/>
          <w:lang w:val="sv-SE"/>
        </w:rPr>
      </w:pPr>
      <w:r w:rsidRPr="0027385B">
        <w:rPr>
          <w:bCs/>
          <w:i/>
          <w:iCs/>
          <w:szCs w:val="24"/>
          <w:lang w:val="sv-SE"/>
        </w:rPr>
        <w:t>Njurtransplantation</w:t>
      </w:r>
    </w:p>
    <w:p w14:paraId="5F46A87D" w14:textId="77777777" w:rsidR="00A67877" w:rsidRPr="0027385B" w:rsidRDefault="00A67877" w:rsidP="00A67877">
      <w:pPr>
        <w:widowControl/>
        <w:tabs>
          <w:tab w:val="clear" w:pos="567"/>
        </w:tabs>
        <w:rPr>
          <w:szCs w:val="24"/>
          <w:lang w:val="sv-SE"/>
        </w:rPr>
      </w:pPr>
      <w:r w:rsidRPr="0027385B">
        <w:rPr>
          <w:szCs w:val="24"/>
          <w:lang w:val="sv-SE"/>
        </w:rPr>
        <w:t>Det finns ingen erfarenhet av behandling med Teveten till patienter som nyligen njurtransplanterats.</w:t>
      </w:r>
    </w:p>
    <w:p w14:paraId="34BAAEEF" w14:textId="77777777" w:rsidR="00A67877" w:rsidRPr="0027385B" w:rsidRDefault="00A67877" w:rsidP="00A67877">
      <w:pPr>
        <w:widowControl/>
        <w:tabs>
          <w:tab w:val="clear" w:pos="567"/>
        </w:tabs>
        <w:rPr>
          <w:szCs w:val="24"/>
          <w:lang w:val="sv-SE"/>
        </w:rPr>
      </w:pPr>
    </w:p>
    <w:p w14:paraId="78D5D366" w14:textId="77777777" w:rsidR="00A67877" w:rsidRPr="0027385B" w:rsidRDefault="00A67877" w:rsidP="00A67877">
      <w:pPr>
        <w:widowControl/>
        <w:tabs>
          <w:tab w:val="clear" w:pos="567"/>
        </w:tabs>
        <w:rPr>
          <w:i/>
          <w:szCs w:val="24"/>
          <w:lang w:val="sv-SE"/>
        </w:rPr>
      </w:pPr>
      <w:r w:rsidRPr="0027385B">
        <w:rPr>
          <w:i/>
          <w:szCs w:val="24"/>
          <w:lang w:val="sv-SE"/>
        </w:rPr>
        <w:t>Graviditet</w:t>
      </w:r>
    </w:p>
    <w:p w14:paraId="3E1BE252" w14:textId="77777777" w:rsidR="00A67877" w:rsidRPr="0027385B" w:rsidRDefault="00A67877" w:rsidP="00A67877">
      <w:pPr>
        <w:widowControl/>
        <w:tabs>
          <w:tab w:val="clear" w:pos="567"/>
        </w:tabs>
        <w:rPr>
          <w:szCs w:val="22"/>
          <w:lang w:val="sv-SE"/>
        </w:rPr>
      </w:pPr>
      <w:r w:rsidRPr="0027385B">
        <w:rPr>
          <w:szCs w:val="22"/>
          <w:lang w:val="sv-SE"/>
        </w:rPr>
        <w:t>Behandling med angiotensin II-receptorblockerare bör inte påbörjas under graviditet. Om inte fortsatt behandling med angiotensin II-receptorblockerare anses nödvändig, bör patienter som planerar graviditet, erhålla alternativ behandling där säkerhetsprofilen är väl dokumenterad för användning under graviditet. Vid konstaterad graviditet bör behandling med angiotensin II-receptorblockerare avbrytas direkt och, om lämpligt, bör en alternativ behandling påbörjas (se avsnitt 4.3 och 4.6).</w:t>
      </w:r>
    </w:p>
    <w:p w14:paraId="4EC63DC7" w14:textId="77777777" w:rsidR="00A67877" w:rsidRPr="0027385B" w:rsidRDefault="00A67877" w:rsidP="00A67877">
      <w:pPr>
        <w:widowControl/>
        <w:tabs>
          <w:tab w:val="clear" w:pos="567"/>
        </w:tabs>
        <w:rPr>
          <w:szCs w:val="24"/>
          <w:lang w:val="sv-SE"/>
        </w:rPr>
      </w:pPr>
    </w:p>
    <w:p w14:paraId="263CDAE7" w14:textId="77777777" w:rsidR="00A67877" w:rsidRPr="0027385B" w:rsidRDefault="00A67877" w:rsidP="00A67877">
      <w:pPr>
        <w:widowControl/>
        <w:tabs>
          <w:tab w:val="clear" w:pos="567"/>
        </w:tabs>
        <w:rPr>
          <w:bCs/>
          <w:i/>
          <w:iCs/>
          <w:szCs w:val="24"/>
          <w:lang w:val="sv-SE"/>
        </w:rPr>
      </w:pPr>
      <w:r w:rsidRPr="0027385B">
        <w:rPr>
          <w:bCs/>
          <w:i/>
          <w:iCs/>
          <w:szCs w:val="24"/>
          <w:lang w:val="sv-SE"/>
        </w:rPr>
        <w:t>Övriga varningar och försiktighet</w:t>
      </w:r>
    </w:p>
    <w:p w14:paraId="07A6A112" w14:textId="77777777" w:rsidR="00A67877" w:rsidRPr="0027385B" w:rsidRDefault="00A67877" w:rsidP="00A67877">
      <w:pPr>
        <w:widowControl/>
        <w:tabs>
          <w:tab w:val="clear" w:pos="567"/>
        </w:tabs>
        <w:rPr>
          <w:szCs w:val="24"/>
          <w:lang w:val="sv-SE"/>
        </w:rPr>
      </w:pPr>
      <w:r w:rsidRPr="0027385B">
        <w:rPr>
          <w:szCs w:val="24"/>
          <w:lang w:val="sv-SE"/>
        </w:rPr>
        <w:t xml:space="preserve">Liknande observationer som för ACE-hämmare har också gjorts för eprosartan och andra </w:t>
      </w:r>
      <w:r w:rsidRPr="0027385B">
        <w:rPr>
          <w:szCs w:val="22"/>
          <w:lang w:val="sv-SE"/>
        </w:rPr>
        <w:t>angiotensin II-receptorblockerare</w:t>
      </w:r>
      <w:r w:rsidRPr="0027385B">
        <w:rPr>
          <w:szCs w:val="24"/>
          <w:lang w:val="sv-SE"/>
        </w:rPr>
        <w:t xml:space="preserve">, att de till synes sänker blodtrycket mindre effektivt hos svarta patienter. Möjligen kan det bero på högre </w:t>
      </w:r>
      <w:r w:rsidRPr="00AF01D5">
        <w:rPr>
          <w:szCs w:val="24"/>
          <w:lang w:val="sv-SE"/>
        </w:rPr>
        <w:t>prevalens av låg reninstatus hos den svarta hypertonipopulationen</w:t>
      </w:r>
      <w:r w:rsidRPr="0027385B">
        <w:rPr>
          <w:szCs w:val="24"/>
          <w:lang w:val="sv-SE"/>
        </w:rPr>
        <w:t>.</w:t>
      </w:r>
    </w:p>
    <w:p w14:paraId="1E7DD827" w14:textId="77777777" w:rsidR="00A67877" w:rsidRPr="0027385B" w:rsidRDefault="00A67877" w:rsidP="00A67877">
      <w:pPr>
        <w:widowControl/>
        <w:tabs>
          <w:tab w:val="clear" w:pos="567"/>
        </w:tabs>
        <w:rPr>
          <w:szCs w:val="24"/>
          <w:lang w:val="sv-SE"/>
        </w:rPr>
      </w:pPr>
    </w:p>
    <w:p w14:paraId="5CDA14E0" w14:textId="77777777" w:rsidR="00A67877" w:rsidRPr="0027385B" w:rsidRDefault="00A67877" w:rsidP="00A67877">
      <w:pPr>
        <w:widowControl/>
        <w:tabs>
          <w:tab w:val="clear" w:pos="567"/>
        </w:tabs>
        <w:rPr>
          <w:szCs w:val="24"/>
          <w:lang w:val="sv-SE"/>
        </w:rPr>
      </w:pPr>
      <w:r w:rsidRPr="0027385B">
        <w:rPr>
          <w:szCs w:val="24"/>
          <w:lang w:val="sv-SE"/>
        </w:rPr>
        <w:t>Patienter med något av följande sällsynta ärftliga tillstånd bör inte använda detta läkemedel: galaktosintolerans, total laktasbrist eller glukos-galaktosmalabsorption.</w:t>
      </w:r>
    </w:p>
    <w:p w14:paraId="355FC4DF" w14:textId="77777777" w:rsidR="00A67877" w:rsidRPr="0027385B" w:rsidRDefault="00A67877" w:rsidP="00A67877">
      <w:pPr>
        <w:widowControl/>
        <w:tabs>
          <w:tab w:val="clear" w:pos="567"/>
        </w:tabs>
        <w:rPr>
          <w:szCs w:val="24"/>
          <w:lang w:val="sv-SE"/>
        </w:rPr>
      </w:pPr>
    </w:p>
    <w:p w14:paraId="36105D47"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Interaktioner med andra läkemedel och övriga interaktioner</w:t>
      </w:r>
    </w:p>
    <w:p w14:paraId="2CD74476" w14:textId="77777777" w:rsidR="00A67877" w:rsidRPr="0027385B" w:rsidRDefault="00A67877" w:rsidP="00A67877">
      <w:pPr>
        <w:widowControl/>
        <w:tabs>
          <w:tab w:val="clear" w:pos="567"/>
        </w:tabs>
        <w:rPr>
          <w:szCs w:val="24"/>
          <w:lang w:val="sv-SE"/>
        </w:rPr>
      </w:pPr>
    </w:p>
    <w:p w14:paraId="596A2A46" w14:textId="77777777" w:rsidR="00A67877" w:rsidRPr="0027385B" w:rsidRDefault="00A67877" w:rsidP="00A67877">
      <w:pPr>
        <w:widowControl/>
        <w:tabs>
          <w:tab w:val="clear" w:pos="567"/>
        </w:tabs>
        <w:rPr>
          <w:szCs w:val="24"/>
          <w:lang w:val="sv-SE"/>
        </w:rPr>
      </w:pPr>
      <w:r w:rsidRPr="00AF01D5">
        <w:rPr>
          <w:szCs w:val="24"/>
          <w:lang w:val="sv-SE"/>
        </w:rPr>
        <w:t xml:space="preserve">Signifikant </w:t>
      </w:r>
      <w:r>
        <w:rPr>
          <w:szCs w:val="24"/>
          <w:lang w:val="sv-SE"/>
        </w:rPr>
        <w:t>h</w:t>
      </w:r>
      <w:r w:rsidRPr="0027385B">
        <w:rPr>
          <w:szCs w:val="24"/>
          <w:lang w:val="sv-SE"/>
        </w:rPr>
        <w:t>öjda serumkaliumnivåer har observerats i placebokontrollerade kliniska studier. Erfarenhet med andra läkemedel som påverkar renin-angiotensin-aldosteronsystemet tyder på att samtidig användning av kaliumsparande diuretika, kaliumsupplement, saltersättningsmedel innehållande kalium eller andra läkemedel som höjer serumkaliumnivåerna (t.ex. heparin</w:t>
      </w:r>
      <w:r w:rsidR="00540FED">
        <w:rPr>
          <w:szCs w:val="24"/>
          <w:lang w:val="sv-SE"/>
        </w:rPr>
        <w:t xml:space="preserve">, </w:t>
      </w:r>
      <w:r w:rsidR="00540FED" w:rsidRPr="00ED54E5">
        <w:rPr>
          <w:szCs w:val="24"/>
          <w:lang w:val="sv-SE"/>
        </w:rPr>
        <w:t>trimetoprim innehållande läkemedel</w:t>
      </w:r>
      <w:r w:rsidRPr="0027385B">
        <w:rPr>
          <w:szCs w:val="24"/>
          <w:lang w:val="sv-SE"/>
        </w:rPr>
        <w:t>) kan leda till förhöjda serumkaliumvärden.</w:t>
      </w:r>
    </w:p>
    <w:p w14:paraId="58E49D3D" w14:textId="77777777" w:rsidR="00A67877" w:rsidRPr="0027385B" w:rsidRDefault="00A67877" w:rsidP="00A67877">
      <w:pPr>
        <w:widowControl/>
        <w:tabs>
          <w:tab w:val="clear" w:pos="567"/>
        </w:tabs>
        <w:rPr>
          <w:szCs w:val="24"/>
          <w:lang w:val="sv-SE"/>
        </w:rPr>
      </w:pPr>
    </w:p>
    <w:p w14:paraId="557116E2" w14:textId="77777777" w:rsidR="00A67877" w:rsidRPr="0027385B" w:rsidRDefault="00A67877" w:rsidP="00A67877">
      <w:pPr>
        <w:widowControl/>
        <w:tabs>
          <w:tab w:val="clear" w:pos="567"/>
        </w:tabs>
        <w:autoSpaceDE w:val="0"/>
        <w:autoSpaceDN w:val="0"/>
        <w:adjustRightInd w:val="0"/>
        <w:jc w:val="both"/>
        <w:rPr>
          <w:rFonts w:ascii="Verdana" w:hAnsi="Verdana" w:cs="Verdana"/>
          <w:color w:val="000000"/>
          <w:szCs w:val="24"/>
          <w:lang w:val="sv-SE" w:eastAsia="sv-SE"/>
        </w:rPr>
      </w:pPr>
      <w:r w:rsidRPr="0027385B">
        <w:rPr>
          <w:szCs w:val="24"/>
          <w:lang w:val="sv-SE"/>
        </w:rPr>
        <w:t>Data från kliniska prövningar har visat att förekomsten av biverkningar som hypotoni, hyperkalemi och nedsatt njurfunktion (inklusive akut njursvikt) är högre vid dubbel blockad av renin-angiotensin- aldosteron-systemet (RAAS) genom kombinerad användning av ACE-hämmare, angiotensin II-receptorblockerare eller aliskiren jämfört med användning av ett enda läkemedel som påverkar RAAS (se avsnitt 4.3, 4.4 och 5.1).</w:t>
      </w:r>
    </w:p>
    <w:p w14:paraId="6E87C141" w14:textId="77777777" w:rsidR="00A67877" w:rsidRPr="0027385B" w:rsidRDefault="00A67877" w:rsidP="00A67877">
      <w:pPr>
        <w:widowControl/>
        <w:tabs>
          <w:tab w:val="clear" w:pos="567"/>
        </w:tabs>
        <w:rPr>
          <w:szCs w:val="24"/>
          <w:lang w:val="sv-SE"/>
        </w:rPr>
      </w:pPr>
    </w:p>
    <w:p w14:paraId="690DBCB1" w14:textId="77777777" w:rsidR="00A67877" w:rsidRPr="0027385B" w:rsidRDefault="00A67877" w:rsidP="00A67877">
      <w:pPr>
        <w:widowControl/>
        <w:tabs>
          <w:tab w:val="clear" w:pos="567"/>
        </w:tabs>
        <w:rPr>
          <w:szCs w:val="24"/>
          <w:lang w:val="sv-SE"/>
        </w:rPr>
      </w:pPr>
      <w:r w:rsidRPr="0027385B">
        <w:rPr>
          <w:szCs w:val="24"/>
          <w:lang w:val="sv-SE"/>
        </w:rPr>
        <w:t>Den blodtryckssänkande effekten kan förstärkas vid samtidig behandling med andra blodtrycks</w:t>
      </w:r>
      <w:r w:rsidRPr="0027385B">
        <w:rPr>
          <w:szCs w:val="24"/>
          <w:lang w:val="sv-SE"/>
        </w:rPr>
        <w:softHyphen/>
        <w:t>sänkande medel.</w:t>
      </w:r>
    </w:p>
    <w:p w14:paraId="4F0CC9A9" w14:textId="77777777" w:rsidR="00A67877" w:rsidRPr="0027385B" w:rsidRDefault="00A67877" w:rsidP="00A67877">
      <w:pPr>
        <w:widowControl/>
        <w:tabs>
          <w:tab w:val="clear" w:pos="567"/>
        </w:tabs>
        <w:rPr>
          <w:szCs w:val="24"/>
          <w:lang w:val="sv-SE"/>
        </w:rPr>
      </w:pPr>
      <w:r w:rsidRPr="0027385B">
        <w:rPr>
          <w:szCs w:val="24"/>
          <w:lang w:val="sv-SE"/>
        </w:rPr>
        <w:lastRenderedPageBreak/>
        <w:t xml:space="preserve">Toxicitet och reversibel ökning av litiumkoncentrationen i serum har rapporterats vid samtidig behandling med litiumpreparat och ACE-hämmare. Liknande effekter vid samtidig användning av eprosartan och litium kan inte uteslutas. Därför rekommenderas noggrann övervakning av litiumnivåerna vid samtidig behandling med </w:t>
      </w:r>
      <w:r w:rsidRPr="00766ADA">
        <w:rPr>
          <w:lang w:val="sv-SE"/>
        </w:rPr>
        <w:t>eprosartan</w:t>
      </w:r>
      <w:r w:rsidRPr="0027385B">
        <w:rPr>
          <w:szCs w:val="24"/>
          <w:lang w:val="sv-SE"/>
        </w:rPr>
        <w:t xml:space="preserve"> och litium.</w:t>
      </w:r>
    </w:p>
    <w:p w14:paraId="38A13FCC" w14:textId="77777777" w:rsidR="00A67877" w:rsidRPr="0027385B" w:rsidRDefault="00A67877" w:rsidP="00A67877">
      <w:pPr>
        <w:widowControl/>
        <w:tabs>
          <w:tab w:val="clear" w:pos="567"/>
        </w:tabs>
        <w:rPr>
          <w:szCs w:val="24"/>
          <w:lang w:val="sv-SE"/>
        </w:rPr>
      </w:pPr>
    </w:p>
    <w:p w14:paraId="1D194210" w14:textId="77777777" w:rsidR="00A67877" w:rsidRPr="0027385B" w:rsidRDefault="00A67877" w:rsidP="00A67877">
      <w:pPr>
        <w:widowControl/>
        <w:tabs>
          <w:tab w:val="clear" w:pos="567"/>
        </w:tabs>
        <w:rPr>
          <w:szCs w:val="24"/>
          <w:lang w:val="sv-SE"/>
        </w:rPr>
      </w:pPr>
      <w:r w:rsidRPr="0027385B">
        <w:rPr>
          <w:szCs w:val="24"/>
          <w:lang w:val="sv-SE"/>
        </w:rPr>
        <w:t xml:space="preserve">Eprosartan har, </w:t>
      </w:r>
      <w:r w:rsidRPr="0027385B">
        <w:rPr>
          <w:i/>
          <w:iCs/>
          <w:szCs w:val="24"/>
          <w:lang w:val="sv-SE"/>
        </w:rPr>
        <w:t>in vitro</w:t>
      </w:r>
      <w:r w:rsidRPr="0027385B">
        <w:rPr>
          <w:szCs w:val="24"/>
          <w:lang w:val="sv-SE"/>
        </w:rPr>
        <w:t>, visat sig inte hämma cytokrom P450-enzymerna CYP1A, 2A6, 2C9/8, 2C19, 2D6, 2E och 3A hos människa.</w:t>
      </w:r>
    </w:p>
    <w:p w14:paraId="6D082831" w14:textId="77777777" w:rsidR="00A67877" w:rsidRPr="0027385B" w:rsidRDefault="00A67877" w:rsidP="00A67877">
      <w:pPr>
        <w:widowControl/>
        <w:tabs>
          <w:tab w:val="clear" w:pos="567"/>
        </w:tabs>
        <w:rPr>
          <w:szCs w:val="24"/>
          <w:lang w:val="sv-SE"/>
        </w:rPr>
      </w:pPr>
    </w:p>
    <w:p w14:paraId="6CFACB78" w14:textId="77777777" w:rsidR="00A67877" w:rsidRPr="0027385B" w:rsidRDefault="00A67877" w:rsidP="00A67877">
      <w:pPr>
        <w:widowControl/>
        <w:tabs>
          <w:tab w:val="clear" w:pos="567"/>
        </w:tabs>
        <w:textAlignment w:val="top"/>
        <w:rPr>
          <w:szCs w:val="24"/>
          <w:lang w:val="sv-SE"/>
        </w:rPr>
      </w:pPr>
      <w:r w:rsidRPr="0027385B">
        <w:rPr>
          <w:szCs w:val="24"/>
          <w:lang w:val="sv-SE"/>
        </w:rPr>
        <w:t>Liksom för ACE-hämmare kan samtidig användning av angiotensin II-receptorblockerare och NSAID leda till ökad risk för nedsättning av njurfunktionen, inklusive möjlig akut njursvikt och en ökning av serumkalium, särskilt hos patienter med redan dålig njurfunktion. Kombinationen ska ges med försiktighet, särskilt hos äldre. Patienterna ska vara adekvat hydrerade och man bör överväga att kontrollera njurfunktionen efter insättandet av samtidig behandling och därefter regelbundet.</w:t>
      </w:r>
      <w:r w:rsidRPr="0027385B">
        <w:rPr>
          <w:szCs w:val="24"/>
          <w:lang w:val="sv-SE"/>
        </w:rPr>
        <w:br/>
        <w:t>Samtidig användning av losartan med NSAID indometacin leder till en minskning av effekten av angiotensin II-receptorblockerare, en klasseffekt kan inte uteslutas.</w:t>
      </w:r>
    </w:p>
    <w:p w14:paraId="6C5CBB8B" w14:textId="77777777" w:rsidR="00A67877" w:rsidRPr="0027385B" w:rsidRDefault="00A67877" w:rsidP="00A67877">
      <w:pPr>
        <w:widowControl/>
        <w:tabs>
          <w:tab w:val="clear" w:pos="567"/>
        </w:tabs>
        <w:rPr>
          <w:szCs w:val="24"/>
          <w:lang w:val="sv-SE"/>
        </w:rPr>
      </w:pPr>
    </w:p>
    <w:p w14:paraId="3C93B490"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Graviditet och amning</w:t>
      </w:r>
    </w:p>
    <w:p w14:paraId="0982D5E7" w14:textId="77777777" w:rsidR="00A67877" w:rsidRPr="0027385B" w:rsidRDefault="00A67877" w:rsidP="00A67877">
      <w:pPr>
        <w:widowControl/>
        <w:tabs>
          <w:tab w:val="clear" w:pos="567"/>
        </w:tabs>
        <w:rPr>
          <w:bCs/>
          <w:i/>
          <w:iCs/>
          <w:szCs w:val="24"/>
          <w:lang w:val="sv-SE"/>
        </w:rPr>
      </w:pPr>
    </w:p>
    <w:p w14:paraId="7B54AD5F" w14:textId="77777777" w:rsidR="00A67877" w:rsidRDefault="00A67877" w:rsidP="00A67877">
      <w:pPr>
        <w:widowControl/>
        <w:tabs>
          <w:tab w:val="clear" w:pos="567"/>
        </w:tabs>
        <w:rPr>
          <w:bCs/>
          <w:i/>
          <w:iCs/>
          <w:szCs w:val="24"/>
          <w:lang w:val="sv-SE"/>
        </w:rPr>
      </w:pPr>
      <w:r w:rsidRPr="0027385B">
        <w:rPr>
          <w:bCs/>
          <w:i/>
          <w:iCs/>
          <w:szCs w:val="24"/>
          <w:lang w:val="sv-SE"/>
        </w:rPr>
        <w:t>Graviditet</w:t>
      </w:r>
    </w:p>
    <w:p w14:paraId="7A8C0706" w14:textId="77777777" w:rsidR="0085225C" w:rsidRPr="0085225C" w:rsidRDefault="0085225C" w:rsidP="0085225C">
      <w:pPr>
        <w:widowControl/>
        <w:tabs>
          <w:tab w:val="clear" w:pos="567"/>
        </w:tabs>
        <w:rPr>
          <w:szCs w:val="24"/>
          <w:lang w:val="sv-SE"/>
        </w:rPr>
      </w:pPr>
      <w:r w:rsidRPr="0085225C">
        <w:rPr>
          <w:szCs w:val="24"/>
          <w:lang w:val="sv-SE"/>
        </w:rPr>
        <w:t>Angiotensin II-receptorblockerare bör inte användas under graviditetens första trimester (se avsnitt 4.4). Angiotensin II-receptorblockerare är kontraindicerat under graviditetens andra och tredje trimester (se avsnitt 4.3 och 4.4).</w:t>
      </w:r>
    </w:p>
    <w:p w14:paraId="68F67893" w14:textId="77777777" w:rsidR="0085225C" w:rsidRPr="0027385B" w:rsidRDefault="0085225C" w:rsidP="00A67877">
      <w:pPr>
        <w:widowControl/>
        <w:tabs>
          <w:tab w:val="clear" w:pos="567"/>
        </w:tabs>
        <w:rPr>
          <w:szCs w:val="24"/>
          <w:lang w:val="sv-SE"/>
        </w:rPr>
      </w:pPr>
    </w:p>
    <w:p w14:paraId="527C81EF" w14:textId="77777777" w:rsidR="00A67877" w:rsidRPr="0027385B" w:rsidRDefault="00A67877" w:rsidP="00A67877">
      <w:pPr>
        <w:widowControl/>
        <w:tabs>
          <w:tab w:val="clear" w:pos="567"/>
        </w:tabs>
        <w:suppressAutoHyphens/>
        <w:rPr>
          <w:szCs w:val="22"/>
          <w:lang w:val="sv-SE"/>
        </w:rPr>
      </w:pPr>
      <w:r w:rsidRPr="0027385B">
        <w:rPr>
          <w:szCs w:val="22"/>
          <w:lang w:val="sv-SE"/>
        </w:rPr>
        <w:t>Epidemiologiska data rörande risk för fosterskada efter användning av ACE-hämmare under graviditetens första trimester är inte entydiga: en något ökad risk kan inte uteslutas. Kontrollerade epidemiologiska data saknas för angiotensin-II antagonister men likartade risker kan föreligga för denna läkemedelsgrupp.</w:t>
      </w:r>
    </w:p>
    <w:p w14:paraId="0D918232" w14:textId="77777777" w:rsidR="00A67877" w:rsidRPr="0027385B" w:rsidRDefault="00A67877" w:rsidP="00A67877">
      <w:pPr>
        <w:widowControl/>
        <w:tabs>
          <w:tab w:val="clear" w:pos="567"/>
        </w:tabs>
        <w:rPr>
          <w:szCs w:val="22"/>
          <w:lang w:val="sv-SE"/>
        </w:rPr>
      </w:pPr>
      <w:r w:rsidRPr="0027385B">
        <w:rPr>
          <w:szCs w:val="22"/>
          <w:lang w:val="sv-SE"/>
        </w:rPr>
        <w:t>Om inte fortsatt behandling med angiotensin II-receptorblockerare anses nödvändig, bör patienter som planerar graviditet, erhålla alternativ behandling där säkerhetsprofilen är väl dokumenterad för användning under graviditet. Vid konstaterad graviditet bör behandling med angiotensin II-receptorblockerare avbrytas direkt och, om lämpligt, bör en alternativ behandling påbörjas.</w:t>
      </w:r>
    </w:p>
    <w:p w14:paraId="223C7FDF" w14:textId="77777777" w:rsidR="00A67877" w:rsidRPr="0027385B" w:rsidRDefault="00A67877" w:rsidP="00A67877">
      <w:pPr>
        <w:widowControl/>
        <w:tabs>
          <w:tab w:val="clear" w:pos="567"/>
        </w:tabs>
        <w:rPr>
          <w:szCs w:val="22"/>
          <w:lang w:val="sv-SE"/>
        </w:rPr>
      </w:pPr>
      <w:r w:rsidRPr="0027385B">
        <w:rPr>
          <w:szCs w:val="22"/>
          <w:lang w:val="sv-SE"/>
        </w:rPr>
        <w:t>Det är känt att behandling med angiotensin II-receptorblockerare under andra och tredje trimestern kan inducera human fostertoxicitet (nedsatt njurfunktion, oligohydramnios, hämning av skallförbening) och neonatal toxicitet (njursvikt, hypotoni, hyperkalemi) (</w:t>
      </w:r>
      <w:r>
        <w:rPr>
          <w:szCs w:val="22"/>
          <w:lang w:val="sv-SE"/>
        </w:rPr>
        <w:t>s</w:t>
      </w:r>
      <w:r w:rsidRPr="0027385B">
        <w:rPr>
          <w:szCs w:val="22"/>
          <w:lang w:val="sv-SE"/>
        </w:rPr>
        <w:t xml:space="preserve">e avsnitt 5.3.). </w:t>
      </w:r>
    </w:p>
    <w:p w14:paraId="06026156" w14:textId="77777777" w:rsidR="00A67877" w:rsidRPr="0027385B" w:rsidRDefault="00A67877" w:rsidP="00A67877">
      <w:pPr>
        <w:widowControl/>
        <w:tabs>
          <w:tab w:val="clear" w:pos="567"/>
        </w:tabs>
        <w:rPr>
          <w:szCs w:val="22"/>
          <w:lang w:val="sv-SE"/>
        </w:rPr>
      </w:pPr>
      <w:r w:rsidRPr="0027385B">
        <w:rPr>
          <w:szCs w:val="22"/>
          <w:lang w:val="sv-SE"/>
        </w:rPr>
        <w:t>Om exponering för angiotensin II-receptorblockerare förekommit under graviditetens andra eller tredje trimester rekommenderas ultraljudskontroll av njurfunktion och skalle.</w:t>
      </w:r>
    </w:p>
    <w:p w14:paraId="245CD31F" w14:textId="77777777" w:rsidR="00A67877" w:rsidRPr="0027385B" w:rsidRDefault="00A67877" w:rsidP="00A67877">
      <w:pPr>
        <w:widowControl/>
        <w:tabs>
          <w:tab w:val="clear" w:pos="567"/>
        </w:tabs>
        <w:rPr>
          <w:szCs w:val="22"/>
          <w:lang w:val="sv-SE"/>
        </w:rPr>
      </w:pPr>
      <w:r w:rsidRPr="0027385B">
        <w:rPr>
          <w:szCs w:val="22"/>
          <w:lang w:val="sv-SE"/>
        </w:rPr>
        <w:t>Spädbarn vars mödrar har använt angiotensin II-receptorblockerare bör observeras noggrant med avseende på hypotoni (se avsnitt 4.3 och 4.4).</w:t>
      </w:r>
    </w:p>
    <w:p w14:paraId="181C0C8E" w14:textId="77777777" w:rsidR="00A67877" w:rsidRPr="0027385B" w:rsidRDefault="00A67877" w:rsidP="00A67877">
      <w:pPr>
        <w:widowControl/>
        <w:tabs>
          <w:tab w:val="clear" w:pos="567"/>
        </w:tabs>
        <w:rPr>
          <w:szCs w:val="24"/>
          <w:lang w:val="sv-SE"/>
        </w:rPr>
      </w:pPr>
    </w:p>
    <w:p w14:paraId="071A5139" w14:textId="77777777" w:rsidR="00A67877" w:rsidRPr="0027385B" w:rsidRDefault="00A67877" w:rsidP="00A67877">
      <w:pPr>
        <w:widowControl/>
        <w:tabs>
          <w:tab w:val="clear" w:pos="567"/>
        </w:tabs>
        <w:rPr>
          <w:bCs/>
          <w:i/>
          <w:iCs/>
          <w:szCs w:val="24"/>
          <w:lang w:val="sv-SE"/>
        </w:rPr>
      </w:pPr>
      <w:r w:rsidRPr="0027385B">
        <w:rPr>
          <w:bCs/>
          <w:i/>
          <w:iCs/>
          <w:szCs w:val="24"/>
          <w:lang w:val="sv-SE"/>
        </w:rPr>
        <w:t xml:space="preserve">Amning </w:t>
      </w:r>
    </w:p>
    <w:p w14:paraId="17AA9C93" w14:textId="77777777" w:rsidR="00A67877" w:rsidRPr="0027385B" w:rsidRDefault="00A67877" w:rsidP="00A67877">
      <w:pPr>
        <w:widowControl/>
        <w:tabs>
          <w:tab w:val="clear" w:pos="567"/>
        </w:tabs>
        <w:rPr>
          <w:szCs w:val="22"/>
          <w:lang w:val="sv-SE"/>
        </w:rPr>
      </w:pPr>
      <w:r w:rsidRPr="0027385B">
        <w:rPr>
          <w:szCs w:val="22"/>
          <w:lang w:val="sv-SE"/>
        </w:rPr>
        <w:t xml:space="preserve">Eftersom ingen information angående användning av Teveten under amning finns, rekommenderas inte Teveten utan i stället är alternativa behandlingar med bättre dokumenterad säkerhetsprofil att föredra under amning, speciellt vid amning av nyfödda eller prematura barn. </w:t>
      </w:r>
    </w:p>
    <w:p w14:paraId="074574F8" w14:textId="77777777" w:rsidR="00A67877" w:rsidRPr="0027385B" w:rsidRDefault="00A67877" w:rsidP="00A67877">
      <w:pPr>
        <w:widowControl/>
        <w:tabs>
          <w:tab w:val="clear" w:pos="567"/>
        </w:tabs>
        <w:rPr>
          <w:szCs w:val="24"/>
          <w:lang w:val="sv-SE"/>
        </w:rPr>
      </w:pPr>
    </w:p>
    <w:p w14:paraId="0EA4FF1A"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Effekter på förmågan att framföra fordon och använda maskiner</w:t>
      </w:r>
    </w:p>
    <w:p w14:paraId="6ADB33FA" w14:textId="77777777" w:rsidR="00A67877" w:rsidRPr="0027385B" w:rsidRDefault="00A67877" w:rsidP="00A67877">
      <w:pPr>
        <w:widowControl/>
        <w:tabs>
          <w:tab w:val="clear" w:pos="567"/>
        </w:tabs>
        <w:rPr>
          <w:szCs w:val="24"/>
          <w:lang w:val="sv-SE"/>
        </w:rPr>
      </w:pPr>
    </w:p>
    <w:p w14:paraId="7665EC1D" w14:textId="77777777" w:rsidR="00A67877" w:rsidRPr="0027385B" w:rsidRDefault="00A67877" w:rsidP="00A67877">
      <w:pPr>
        <w:widowControl/>
        <w:tabs>
          <w:tab w:val="clear" w:pos="567"/>
        </w:tabs>
        <w:rPr>
          <w:szCs w:val="24"/>
          <w:lang w:val="sv-SE"/>
        </w:rPr>
      </w:pPr>
      <w:r w:rsidRPr="0027385B">
        <w:rPr>
          <w:szCs w:val="24"/>
          <w:lang w:val="sv-SE"/>
        </w:rPr>
        <w:t xml:space="preserve">Effekten av </w:t>
      </w:r>
      <w:r w:rsidRPr="00766ADA">
        <w:rPr>
          <w:lang w:val="sv-SE"/>
        </w:rPr>
        <w:t>eprosartan</w:t>
      </w:r>
      <w:r w:rsidRPr="00766ADA">
        <w:rPr>
          <w:szCs w:val="24"/>
          <w:lang w:val="sv-SE"/>
        </w:rPr>
        <w:t xml:space="preserve"> </w:t>
      </w:r>
      <w:r w:rsidRPr="0027385B">
        <w:rPr>
          <w:szCs w:val="24"/>
          <w:lang w:val="sv-SE"/>
        </w:rPr>
        <w:t xml:space="preserve">på </w:t>
      </w:r>
      <w:r w:rsidRPr="00374E7C">
        <w:rPr>
          <w:szCs w:val="24"/>
          <w:lang w:val="sv-SE"/>
        </w:rPr>
        <w:t>förmågan att framföra fordon och använda maskiner</w:t>
      </w:r>
      <w:r w:rsidRPr="0027385B" w:rsidDel="00AF01D5">
        <w:rPr>
          <w:szCs w:val="24"/>
          <w:lang w:val="sv-SE"/>
        </w:rPr>
        <w:t xml:space="preserve"> </w:t>
      </w:r>
      <w:r w:rsidRPr="0027385B">
        <w:rPr>
          <w:szCs w:val="24"/>
          <w:lang w:val="sv-SE"/>
        </w:rPr>
        <w:t xml:space="preserve">har inte studerats. Grundat på de farmakodynamiska egenskaperna är det mindre troligt att </w:t>
      </w:r>
      <w:r w:rsidRPr="0027385B">
        <w:rPr>
          <w:sz w:val="24"/>
          <w:lang w:val="sv-SE"/>
        </w:rPr>
        <w:t>eprosartan</w:t>
      </w:r>
      <w:r w:rsidRPr="0027385B">
        <w:rPr>
          <w:szCs w:val="24"/>
          <w:lang w:val="sv-SE"/>
        </w:rPr>
        <w:t xml:space="preserve"> skulle kunna påverka denna förmåga. Vid bilkörning eller handhavande av maskiner bör man dock ta i beaktande att yrsel och trötthet kan uppträda under behandling av hypertoni.</w:t>
      </w:r>
    </w:p>
    <w:p w14:paraId="3F1FFCC3" w14:textId="77777777" w:rsidR="00A67877" w:rsidRPr="0027385B" w:rsidRDefault="00A67877" w:rsidP="00A67877">
      <w:pPr>
        <w:widowControl/>
        <w:tabs>
          <w:tab w:val="clear" w:pos="567"/>
        </w:tabs>
        <w:rPr>
          <w:szCs w:val="24"/>
          <w:lang w:val="sv-SE"/>
        </w:rPr>
      </w:pPr>
    </w:p>
    <w:p w14:paraId="493091CA"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Biverkningar</w:t>
      </w:r>
    </w:p>
    <w:p w14:paraId="6755E120" w14:textId="77777777" w:rsidR="00A67877" w:rsidRPr="0027385B" w:rsidRDefault="00A67877" w:rsidP="00A67877">
      <w:pPr>
        <w:widowControl/>
        <w:tabs>
          <w:tab w:val="clear" w:pos="567"/>
        </w:tabs>
        <w:rPr>
          <w:szCs w:val="24"/>
          <w:lang w:val="sv-SE"/>
        </w:rPr>
      </w:pPr>
    </w:p>
    <w:p w14:paraId="64AA744C" w14:textId="77777777" w:rsidR="00A67877" w:rsidRPr="0027385B" w:rsidRDefault="00A67877" w:rsidP="00A67877">
      <w:pPr>
        <w:widowControl/>
        <w:tabs>
          <w:tab w:val="clear" w:pos="567"/>
        </w:tabs>
        <w:textAlignment w:val="top"/>
        <w:rPr>
          <w:szCs w:val="24"/>
          <w:lang w:val="sv-SE"/>
        </w:rPr>
      </w:pPr>
      <w:r w:rsidRPr="0027385B">
        <w:rPr>
          <w:szCs w:val="24"/>
          <w:lang w:val="sv-SE"/>
        </w:rPr>
        <w:t>De vanligaste rapporterade biverkningarna hos patienter behandlade med eprosartan är huvudvärk och ospecifika magbesvär, som förekommer hos cirka 11</w:t>
      </w:r>
      <w:r>
        <w:rPr>
          <w:szCs w:val="24"/>
          <w:lang w:val="sv-SE"/>
        </w:rPr>
        <w:t> </w:t>
      </w:r>
      <w:r w:rsidRPr="0027385B">
        <w:rPr>
          <w:szCs w:val="24"/>
          <w:lang w:val="sv-SE"/>
        </w:rPr>
        <w:t>% respektive 8</w:t>
      </w:r>
      <w:r>
        <w:rPr>
          <w:szCs w:val="24"/>
          <w:lang w:val="sv-SE"/>
        </w:rPr>
        <w:t> </w:t>
      </w:r>
      <w:r w:rsidRPr="0027385B">
        <w:rPr>
          <w:szCs w:val="24"/>
          <w:lang w:val="sv-SE"/>
        </w:rPr>
        <w:t>% av patienterna.</w:t>
      </w:r>
    </w:p>
    <w:p w14:paraId="7A3C621F" w14:textId="77777777" w:rsidR="00A67877" w:rsidRPr="0027385B" w:rsidRDefault="00A67877" w:rsidP="00A67877">
      <w:pPr>
        <w:widowControl/>
        <w:tabs>
          <w:tab w:val="clear" w:pos="567"/>
        </w:tabs>
        <w:rPr>
          <w:szCs w:val="24"/>
          <w:lang w:val="sv-SE"/>
        </w:rPr>
      </w:pPr>
    </w:p>
    <w:p w14:paraId="798D2948" w14:textId="77777777" w:rsidR="00A67877" w:rsidRPr="0027385B" w:rsidRDefault="00A67877" w:rsidP="00A67877">
      <w:pPr>
        <w:widowControl/>
        <w:tabs>
          <w:tab w:val="clear" w:pos="567"/>
        </w:tabs>
        <w:rPr>
          <w:szCs w:val="24"/>
          <w:lang w:val="sv-SE"/>
        </w:rPr>
      </w:pPr>
    </w:p>
    <w:p w14:paraId="3775B042" w14:textId="77777777" w:rsidR="00A67877" w:rsidRPr="00766ADA" w:rsidRDefault="00A67877" w:rsidP="00A67877">
      <w:pPr>
        <w:widowControl/>
        <w:tabs>
          <w:tab w:val="clear" w:pos="567"/>
          <w:tab w:val="left" w:pos="1080"/>
        </w:tabs>
        <w:suppressAutoHyphens/>
        <w:jc w:val="center"/>
        <w:rPr>
          <w:b/>
          <w:bCs/>
          <w:lang w:val="sv-SE"/>
        </w:rPr>
      </w:pPr>
      <w:r w:rsidRPr="00766ADA">
        <w:rPr>
          <w:b/>
          <w:bCs/>
          <w:lang w:val="sv-SE"/>
        </w:rPr>
        <w:lastRenderedPageBreak/>
        <w:t xml:space="preserve">BIVERKNINGAR HOS EPROSARTANPATIENTER </w:t>
      </w:r>
    </w:p>
    <w:p w14:paraId="38F7AC9E" w14:textId="77777777" w:rsidR="00A67877" w:rsidRPr="00766ADA" w:rsidRDefault="00A67877" w:rsidP="00A67877">
      <w:pPr>
        <w:widowControl/>
        <w:tabs>
          <w:tab w:val="clear" w:pos="567"/>
          <w:tab w:val="left" w:pos="1080"/>
        </w:tabs>
        <w:suppressAutoHyphens/>
        <w:jc w:val="center"/>
        <w:rPr>
          <w:b/>
          <w:bCs/>
          <w:lang w:val="sv-SE"/>
        </w:rPr>
      </w:pPr>
      <w:r w:rsidRPr="00766ADA">
        <w:rPr>
          <w:b/>
          <w:bCs/>
          <w:lang w:val="sv-SE"/>
        </w:rPr>
        <w:t>SOM DELTOG I KLINISKA PRÖVNINGAR (n = 2316)</w:t>
      </w:r>
    </w:p>
    <w:p w14:paraId="10A5FEAC" w14:textId="77777777" w:rsidR="00A67877" w:rsidRPr="00766ADA" w:rsidRDefault="00A67877" w:rsidP="00A67877">
      <w:pPr>
        <w:widowControl/>
        <w:tabs>
          <w:tab w:val="clear" w:pos="567"/>
        </w:tabs>
        <w:textAlignment w:val="top"/>
        <w:rPr>
          <w:rFonts w:ascii="Arial" w:hAnsi="Arial" w:cs="Arial"/>
          <w:color w:val="000000"/>
          <w:szCs w:val="24"/>
          <w:lang w:val="sv-SE" w:eastAsia="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098"/>
        <w:gridCol w:w="2410"/>
        <w:gridCol w:w="2409"/>
      </w:tblGrid>
      <w:tr w:rsidR="00A67877" w:rsidRPr="0027385B" w14:paraId="73521019" w14:textId="77777777" w:rsidTr="00A67877">
        <w:trPr>
          <w:tblHeader/>
        </w:trPr>
        <w:tc>
          <w:tcPr>
            <w:tcW w:w="2155" w:type="dxa"/>
          </w:tcPr>
          <w:p w14:paraId="4B27B4B8" w14:textId="77777777" w:rsidR="00A67877" w:rsidRPr="00766ADA" w:rsidRDefault="00A67877" w:rsidP="00A67877">
            <w:pPr>
              <w:keepNext/>
              <w:keepLines/>
              <w:widowControl/>
              <w:tabs>
                <w:tab w:val="clear" w:pos="567"/>
                <w:tab w:val="left" w:pos="0"/>
              </w:tabs>
              <w:rPr>
                <w:b/>
                <w:color w:val="000000"/>
                <w:szCs w:val="22"/>
                <w:lang w:val="sv-SE"/>
              </w:rPr>
            </w:pPr>
            <w:r w:rsidRPr="00766ADA">
              <w:rPr>
                <w:b/>
                <w:bCs/>
                <w:szCs w:val="22"/>
                <w:lang w:val="sv-SE"/>
              </w:rPr>
              <w:t xml:space="preserve">MedDRA-databasen om klassificering av organsystem </w:t>
            </w:r>
          </w:p>
        </w:tc>
        <w:tc>
          <w:tcPr>
            <w:tcW w:w="2098" w:type="dxa"/>
          </w:tcPr>
          <w:p w14:paraId="4D4CE570" w14:textId="77777777" w:rsidR="00A67877" w:rsidRPr="00766ADA" w:rsidRDefault="00A67877" w:rsidP="00A67877">
            <w:pPr>
              <w:keepNext/>
              <w:keepLines/>
              <w:widowControl/>
              <w:tabs>
                <w:tab w:val="clear" w:pos="567"/>
              </w:tabs>
              <w:jc w:val="center"/>
              <w:rPr>
                <w:b/>
                <w:color w:val="000000"/>
                <w:szCs w:val="22"/>
                <w:lang w:val="sv-SE"/>
              </w:rPr>
            </w:pPr>
            <w:r w:rsidRPr="00766ADA">
              <w:rPr>
                <w:b/>
                <w:color w:val="000000"/>
                <w:szCs w:val="22"/>
                <w:lang w:val="sv-SE"/>
              </w:rPr>
              <w:t>Mycket vanliga≥1/10</w:t>
            </w:r>
          </w:p>
        </w:tc>
        <w:tc>
          <w:tcPr>
            <w:tcW w:w="2410" w:type="dxa"/>
          </w:tcPr>
          <w:p w14:paraId="1A0AD76D" w14:textId="77777777" w:rsidR="00A67877" w:rsidRPr="00766ADA" w:rsidRDefault="00A67877" w:rsidP="00A67877">
            <w:pPr>
              <w:keepNext/>
              <w:keepLines/>
              <w:widowControl/>
              <w:tabs>
                <w:tab w:val="clear" w:pos="567"/>
              </w:tabs>
              <w:jc w:val="center"/>
              <w:rPr>
                <w:b/>
                <w:color w:val="000000"/>
                <w:szCs w:val="22"/>
                <w:lang w:val="sv-SE"/>
              </w:rPr>
            </w:pPr>
            <w:r w:rsidRPr="00766ADA">
              <w:rPr>
                <w:b/>
                <w:color w:val="000000"/>
                <w:szCs w:val="22"/>
                <w:lang w:val="sv-SE"/>
              </w:rPr>
              <w:t>Vanliga</w:t>
            </w:r>
          </w:p>
          <w:p w14:paraId="2CF72CFE" w14:textId="77777777" w:rsidR="00A67877" w:rsidRPr="00766ADA" w:rsidRDefault="00A67877" w:rsidP="00A67877">
            <w:pPr>
              <w:keepNext/>
              <w:keepLines/>
              <w:widowControl/>
              <w:tabs>
                <w:tab w:val="clear" w:pos="567"/>
              </w:tabs>
              <w:jc w:val="center"/>
              <w:rPr>
                <w:b/>
                <w:color w:val="000000"/>
                <w:szCs w:val="22"/>
                <w:lang w:val="sv-SE"/>
              </w:rPr>
            </w:pPr>
            <w:r w:rsidRPr="00766ADA">
              <w:rPr>
                <w:b/>
                <w:color w:val="000000"/>
                <w:szCs w:val="22"/>
                <w:lang w:val="sv-SE"/>
              </w:rPr>
              <w:t>≥1/100 to &lt;1/10</w:t>
            </w:r>
          </w:p>
        </w:tc>
        <w:tc>
          <w:tcPr>
            <w:tcW w:w="2409" w:type="dxa"/>
          </w:tcPr>
          <w:p w14:paraId="2185CF30" w14:textId="77777777" w:rsidR="00A67877" w:rsidRPr="00766ADA" w:rsidRDefault="00A67877" w:rsidP="00A67877">
            <w:pPr>
              <w:keepNext/>
              <w:keepLines/>
              <w:widowControl/>
              <w:tabs>
                <w:tab w:val="clear" w:pos="567"/>
                <w:tab w:val="left" w:pos="-60"/>
              </w:tabs>
              <w:jc w:val="center"/>
              <w:rPr>
                <w:b/>
                <w:szCs w:val="22"/>
                <w:lang w:val="sv-SE"/>
              </w:rPr>
            </w:pPr>
            <w:r w:rsidRPr="00766ADA">
              <w:rPr>
                <w:b/>
                <w:szCs w:val="22"/>
                <w:lang w:val="sv-SE"/>
              </w:rPr>
              <w:t>Mindre vanliga</w:t>
            </w:r>
          </w:p>
          <w:p w14:paraId="256A1FC8" w14:textId="77777777" w:rsidR="00A67877" w:rsidRPr="00766ADA" w:rsidRDefault="00A67877" w:rsidP="00A67877">
            <w:pPr>
              <w:keepNext/>
              <w:keepLines/>
              <w:widowControl/>
              <w:tabs>
                <w:tab w:val="clear" w:pos="567"/>
                <w:tab w:val="left" w:pos="-60"/>
              </w:tabs>
              <w:jc w:val="center"/>
              <w:rPr>
                <w:b/>
                <w:szCs w:val="22"/>
                <w:lang w:val="sv-SE"/>
              </w:rPr>
            </w:pPr>
            <w:r w:rsidRPr="00766ADA">
              <w:rPr>
                <w:b/>
                <w:szCs w:val="22"/>
                <w:lang w:val="sv-SE"/>
              </w:rPr>
              <w:t>≥1/1</w:t>
            </w:r>
            <w:r>
              <w:rPr>
                <w:b/>
                <w:szCs w:val="22"/>
                <w:lang w:val="sv-SE"/>
              </w:rPr>
              <w:t> </w:t>
            </w:r>
            <w:r w:rsidRPr="00766ADA">
              <w:rPr>
                <w:b/>
                <w:szCs w:val="22"/>
                <w:lang w:val="sv-SE"/>
              </w:rPr>
              <w:t>000 to &lt;1/100</w:t>
            </w:r>
          </w:p>
        </w:tc>
      </w:tr>
      <w:tr w:rsidR="00A67877" w:rsidRPr="0027385B" w14:paraId="6D50AE89" w14:textId="77777777" w:rsidTr="00A67877">
        <w:tc>
          <w:tcPr>
            <w:tcW w:w="2155" w:type="dxa"/>
          </w:tcPr>
          <w:p w14:paraId="2E40841F" w14:textId="77777777" w:rsidR="00A67877" w:rsidRPr="00766ADA" w:rsidRDefault="00A67877" w:rsidP="00A67877">
            <w:pPr>
              <w:widowControl/>
              <w:tabs>
                <w:tab w:val="clear" w:pos="567"/>
                <w:tab w:val="left" w:pos="0"/>
                <w:tab w:val="left" w:pos="426"/>
              </w:tabs>
              <w:rPr>
                <w:b/>
                <w:color w:val="000000"/>
                <w:szCs w:val="22"/>
                <w:lang w:val="sv-SE"/>
              </w:rPr>
            </w:pPr>
            <w:r w:rsidRPr="00766ADA">
              <w:rPr>
                <w:b/>
                <w:color w:val="000000"/>
                <w:szCs w:val="22"/>
                <w:lang w:val="sv-SE"/>
              </w:rPr>
              <w:t>Immunsystemet</w:t>
            </w:r>
          </w:p>
        </w:tc>
        <w:tc>
          <w:tcPr>
            <w:tcW w:w="2098" w:type="dxa"/>
          </w:tcPr>
          <w:p w14:paraId="7C19689C" w14:textId="77777777" w:rsidR="00A67877" w:rsidRPr="00766ADA" w:rsidRDefault="00A67877" w:rsidP="00A67877">
            <w:pPr>
              <w:widowControl/>
              <w:tabs>
                <w:tab w:val="clear" w:pos="567"/>
                <w:tab w:val="left" w:pos="-13"/>
              </w:tabs>
              <w:ind w:hanging="13"/>
              <w:rPr>
                <w:color w:val="000000"/>
                <w:szCs w:val="22"/>
                <w:lang w:val="sv-SE"/>
              </w:rPr>
            </w:pPr>
          </w:p>
        </w:tc>
        <w:tc>
          <w:tcPr>
            <w:tcW w:w="2410" w:type="dxa"/>
          </w:tcPr>
          <w:p w14:paraId="75CF1038" w14:textId="77777777" w:rsidR="00A67877" w:rsidRPr="00766ADA" w:rsidRDefault="00A67877" w:rsidP="00A67877">
            <w:pPr>
              <w:widowControl/>
              <w:tabs>
                <w:tab w:val="clear" w:pos="567"/>
                <w:tab w:val="left" w:pos="-13"/>
              </w:tabs>
              <w:ind w:hanging="13"/>
              <w:rPr>
                <w:color w:val="000000"/>
                <w:szCs w:val="22"/>
                <w:lang w:val="sv-SE"/>
              </w:rPr>
            </w:pPr>
          </w:p>
        </w:tc>
        <w:tc>
          <w:tcPr>
            <w:tcW w:w="2409" w:type="dxa"/>
          </w:tcPr>
          <w:p w14:paraId="23AE35BF" w14:textId="77777777" w:rsidR="00A67877" w:rsidRPr="00766ADA" w:rsidRDefault="00A67877" w:rsidP="00A67877">
            <w:pPr>
              <w:widowControl/>
              <w:tabs>
                <w:tab w:val="clear" w:pos="567"/>
                <w:tab w:val="left" w:pos="-60"/>
              </w:tabs>
              <w:rPr>
                <w:szCs w:val="22"/>
                <w:lang w:val="sv-SE"/>
              </w:rPr>
            </w:pPr>
            <w:r w:rsidRPr="00766ADA">
              <w:rPr>
                <w:szCs w:val="22"/>
                <w:lang w:val="sv-SE"/>
              </w:rPr>
              <w:t>Överkänslighet*</w:t>
            </w:r>
          </w:p>
        </w:tc>
      </w:tr>
      <w:tr w:rsidR="00A67877" w:rsidRPr="0027385B" w14:paraId="0F8ECFB4" w14:textId="77777777" w:rsidTr="00A67877">
        <w:tc>
          <w:tcPr>
            <w:tcW w:w="2155" w:type="dxa"/>
          </w:tcPr>
          <w:p w14:paraId="4B44A8EB" w14:textId="77777777" w:rsidR="00A67877" w:rsidRPr="00743E51" w:rsidRDefault="00A67877" w:rsidP="00A67877">
            <w:pPr>
              <w:widowControl/>
              <w:tabs>
                <w:tab w:val="clear" w:pos="567"/>
                <w:tab w:val="left" w:pos="0"/>
                <w:tab w:val="left" w:pos="426"/>
              </w:tabs>
              <w:rPr>
                <w:b/>
                <w:color w:val="000000"/>
                <w:szCs w:val="22"/>
                <w:lang w:val="sv-SE"/>
              </w:rPr>
            </w:pPr>
            <w:r w:rsidRPr="00743E51">
              <w:rPr>
                <w:b/>
                <w:color w:val="000000"/>
                <w:szCs w:val="22"/>
                <w:lang w:val="sv-SE"/>
              </w:rPr>
              <w:t>Centrala och perifera nervsystemet</w:t>
            </w:r>
          </w:p>
        </w:tc>
        <w:tc>
          <w:tcPr>
            <w:tcW w:w="2098" w:type="dxa"/>
          </w:tcPr>
          <w:p w14:paraId="24110F9F" w14:textId="77777777" w:rsidR="00A67877" w:rsidRPr="00743E51" w:rsidRDefault="00A67877" w:rsidP="00A67877">
            <w:pPr>
              <w:widowControl/>
              <w:tabs>
                <w:tab w:val="clear" w:pos="567"/>
                <w:tab w:val="left" w:pos="-13"/>
              </w:tabs>
              <w:ind w:hanging="13"/>
              <w:rPr>
                <w:color w:val="000000"/>
                <w:szCs w:val="22"/>
                <w:lang w:val="sv-SE"/>
              </w:rPr>
            </w:pPr>
            <w:r w:rsidRPr="00743E51">
              <w:rPr>
                <w:szCs w:val="22"/>
                <w:lang w:val="sv-SE"/>
              </w:rPr>
              <w:t>Huvudvärk</w:t>
            </w:r>
            <w:r w:rsidRPr="00743E51">
              <w:rPr>
                <w:color w:val="000000"/>
                <w:szCs w:val="22"/>
                <w:lang w:val="sv-SE"/>
              </w:rPr>
              <w:t xml:space="preserve"> *</w:t>
            </w:r>
          </w:p>
        </w:tc>
        <w:tc>
          <w:tcPr>
            <w:tcW w:w="2410" w:type="dxa"/>
          </w:tcPr>
          <w:p w14:paraId="3D910ED8" w14:textId="77777777" w:rsidR="00A67877" w:rsidRPr="00743E51" w:rsidRDefault="00A67877" w:rsidP="00A67877">
            <w:pPr>
              <w:widowControl/>
              <w:tabs>
                <w:tab w:val="clear" w:pos="567"/>
                <w:tab w:val="left" w:pos="-13"/>
              </w:tabs>
              <w:ind w:hanging="13"/>
              <w:rPr>
                <w:color w:val="000000"/>
                <w:szCs w:val="22"/>
                <w:lang w:val="sv-SE"/>
              </w:rPr>
            </w:pPr>
            <w:r w:rsidRPr="00743E51">
              <w:rPr>
                <w:color w:val="000000"/>
                <w:szCs w:val="22"/>
                <w:lang w:val="sv-SE"/>
              </w:rPr>
              <w:t>Yrsel*</w:t>
            </w:r>
          </w:p>
        </w:tc>
        <w:tc>
          <w:tcPr>
            <w:tcW w:w="2409" w:type="dxa"/>
          </w:tcPr>
          <w:p w14:paraId="00F34446" w14:textId="77777777" w:rsidR="00A67877" w:rsidRPr="00743E51" w:rsidRDefault="00A67877" w:rsidP="00A67877">
            <w:pPr>
              <w:widowControl/>
              <w:tabs>
                <w:tab w:val="clear" w:pos="567"/>
                <w:tab w:val="left" w:pos="-60"/>
              </w:tabs>
              <w:rPr>
                <w:szCs w:val="22"/>
                <w:lang w:val="sv-SE"/>
              </w:rPr>
            </w:pPr>
          </w:p>
        </w:tc>
      </w:tr>
      <w:tr w:rsidR="00A67877" w:rsidRPr="0027385B" w14:paraId="1ACC7535" w14:textId="77777777" w:rsidTr="00A67877">
        <w:tc>
          <w:tcPr>
            <w:tcW w:w="2155" w:type="dxa"/>
          </w:tcPr>
          <w:p w14:paraId="74C2EE8D" w14:textId="77777777" w:rsidR="00A67877" w:rsidRPr="00743E51" w:rsidRDefault="00A67877" w:rsidP="00A67877">
            <w:pPr>
              <w:widowControl/>
              <w:tabs>
                <w:tab w:val="clear" w:pos="567"/>
                <w:tab w:val="left" w:pos="0"/>
                <w:tab w:val="left" w:pos="426"/>
              </w:tabs>
              <w:rPr>
                <w:b/>
                <w:color w:val="000000"/>
                <w:szCs w:val="22"/>
                <w:lang w:val="sv-SE"/>
              </w:rPr>
            </w:pPr>
            <w:r w:rsidRPr="00743E51">
              <w:rPr>
                <w:b/>
                <w:color w:val="000000"/>
                <w:szCs w:val="22"/>
                <w:lang w:val="sv-SE"/>
              </w:rPr>
              <w:t>Blodkärl</w:t>
            </w:r>
          </w:p>
        </w:tc>
        <w:tc>
          <w:tcPr>
            <w:tcW w:w="2098" w:type="dxa"/>
          </w:tcPr>
          <w:p w14:paraId="75468B79" w14:textId="77777777" w:rsidR="00A67877" w:rsidRPr="00743E51" w:rsidRDefault="00A67877" w:rsidP="00A67877">
            <w:pPr>
              <w:widowControl/>
              <w:tabs>
                <w:tab w:val="clear" w:pos="567"/>
                <w:tab w:val="left" w:pos="-13"/>
              </w:tabs>
              <w:ind w:hanging="13"/>
              <w:rPr>
                <w:color w:val="FF0000"/>
                <w:szCs w:val="22"/>
                <w:lang w:val="sv-SE"/>
              </w:rPr>
            </w:pPr>
          </w:p>
        </w:tc>
        <w:tc>
          <w:tcPr>
            <w:tcW w:w="2410" w:type="dxa"/>
          </w:tcPr>
          <w:p w14:paraId="2E6186F0" w14:textId="77777777" w:rsidR="00A67877" w:rsidRPr="00743E51" w:rsidRDefault="00A67877" w:rsidP="00A67877">
            <w:pPr>
              <w:widowControl/>
              <w:tabs>
                <w:tab w:val="clear" w:pos="567"/>
                <w:tab w:val="left" w:pos="-13"/>
              </w:tabs>
              <w:ind w:hanging="13"/>
              <w:rPr>
                <w:color w:val="FF0000"/>
                <w:szCs w:val="22"/>
                <w:lang w:val="sv-SE"/>
              </w:rPr>
            </w:pPr>
          </w:p>
        </w:tc>
        <w:tc>
          <w:tcPr>
            <w:tcW w:w="2409" w:type="dxa"/>
          </w:tcPr>
          <w:p w14:paraId="6E8260E7" w14:textId="77777777" w:rsidR="00A67877" w:rsidRPr="00743E51" w:rsidRDefault="00A67877" w:rsidP="00A67877">
            <w:pPr>
              <w:widowControl/>
              <w:tabs>
                <w:tab w:val="clear" w:pos="567"/>
                <w:tab w:val="left" w:pos="-60"/>
              </w:tabs>
              <w:rPr>
                <w:szCs w:val="22"/>
                <w:lang w:val="sv-SE"/>
              </w:rPr>
            </w:pPr>
            <w:r w:rsidRPr="00743E51">
              <w:rPr>
                <w:szCs w:val="22"/>
                <w:lang w:val="sv-SE"/>
              </w:rPr>
              <w:t>Hypotension</w:t>
            </w:r>
          </w:p>
        </w:tc>
      </w:tr>
      <w:tr w:rsidR="00A67877" w:rsidRPr="0027385B" w14:paraId="49D461D6" w14:textId="77777777" w:rsidTr="00A67877">
        <w:tc>
          <w:tcPr>
            <w:tcW w:w="2155" w:type="dxa"/>
          </w:tcPr>
          <w:p w14:paraId="30B92C53" w14:textId="77777777" w:rsidR="00A67877" w:rsidRPr="00743E51" w:rsidRDefault="00A67877" w:rsidP="00A67877">
            <w:pPr>
              <w:widowControl/>
              <w:tabs>
                <w:tab w:val="clear" w:pos="567"/>
                <w:tab w:val="left" w:pos="0"/>
                <w:tab w:val="left" w:pos="426"/>
              </w:tabs>
              <w:rPr>
                <w:b/>
                <w:color w:val="000000"/>
                <w:szCs w:val="22"/>
                <w:lang w:val="sv-SE"/>
              </w:rPr>
            </w:pPr>
            <w:r w:rsidRPr="00743E51">
              <w:rPr>
                <w:b/>
                <w:szCs w:val="22"/>
                <w:lang w:val="sv-SE"/>
              </w:rPr>
              <w:t xml:space="preserve">Andningsvägar, bröstkorg och mediastinum </w:t>
            </w:r>
          </w:p>
        </w:tc>
        <w:tc>
          <w:tcPr>
            <w:tcW w:w="2098" w:type="dxa"/>
          </w:tcPr>
          <w:p w14:paraId="4AE63D39" w14:textId="77777777" w:rsidR="00A67877" w:rsidRPr="00743E51" w:rsidRDefault="00A67877" w:rsidP="00A67877">
            <w:pPr>
              <w:widowControl/>
              <w:tabs>
                <w:tab w:val="clear" w:pos="567"/>
                <w:tab w:val="left" w:pos="-13"/>
              </w:tabs>
              <w:ind w:hanging="13"/>
              <w:rPr>
                <w:color w:val="FF0000"/>
                <w:szCs w:val="22"/>
                <w:lang w:val="sv-SE"/>
              </w:rPr>
            </w:pPr>
          </w:p>
        </w:tc>
        <w:tc>
          <w:tcPr>
            <w:tcW w:w="2410" w:type="dxa"/>
          </w:tcPr>
          <w:p w14:paraId="7DC7A213" w14:textId="77777777" w:rsidR="00A67877" w:rsidRPr="00743E51" w:rsidRDefault="00A67877" w:rsidP="00A67877">
            <w:pPr>
              <w:widowControl/>
              <w:tabs>
                <w:tab w:val="clear" w:pos="567"/>
                <w:tab w:val="left" w:pos="-13"/>
              </w:tabs>
              <w:ind w:hanging="13"/>
              <w:rPr>
                <w:color w:val="FF0000"/>
                <w:szCs w:val="22"/>
                <w:lang w:val="sv-SE"/>
              </w:rPr>
            </w:pPr>
            <w:proofErr w:type="spellStart"/>
            <w:r w:rsidRPr="00743E51">
              <w:rPr>
                <w:szCs w:val="22"/>
                <w:lang w:val="en-GB"/>
              </w:rPr>
              <w:t>Rhinit</w:t>
            </w:r>
            <w:proofErr w:type="spellEnd"/>
          </w:p>
        </w:tc>
        <w:tc>
          <w:tcPr>
            <w:tcW w:w="2409" w:type="dxa"/>
          </w:tcPr>
          <w:p w14:paraId="6EA1A218" w14:textId="77777777" w:rsidR="00A67877" w:rsidRPr="00743E51" w:rsidRDefault="00A67877" w:rsidP="00A67877">
            <w:pPr>
              <w:widowControl/>
              <w:tabs>
                <w:tab w:val="clear" w:pos="567"/>
                <w:tab w:val="left" w:pos="-60"/>
              </w:tabs>
              <w:rPr>
                <w:szCs w:val="22"/>
                <w:lang w:val="sv-SE"/>
              </w:rPr>
            </w:pPr>
          </w:p>
        </w:tc>
      </w:tr>
      <w:tr w:rsidR="00A67877" w:rsidRPr="0027385B" w14:paraId="2BF1BDF9" w14:textId="77777777" w:rsidTr="00A67877">
        <w:tc>
          <w:tcPr>
            <w:tcW w:w="2155" w:type="dxa"/>
          </w:tcPr>
          <w:p w14:paraId="73BA36F7" w14:textId="77777777" w:rsidR="00A67877" w:rsidRPr="00743E51" w:rsidRDefault="00A67877" w:rsidP="00A67877">
            <w:pPr>
              <w:widowControl/>
              <w:tabs>
                <w:tab w:val="clear" w:pos="567"/>
                <w:tab w:val="left" w:pos="0"/>
                <w:tab w:val="left" w:pos="426"/>
              </w:tabs>
              <w:rPr>
                <w:b/>
                <w:color w:val="000000"/>
                <w:szCs w:val="22"/>
                <w:lang w:val="sv-SE"/>
              </w:rPr>
            </w:pPr>
            <w:r w:rsidRPr="00743E51">
              <w:rPr>
                <w:b/>
                <w:color w:val="000000"/>
                <w:szCs w:val="22"/>
                <w:lang w:val="sv-SE"/>
              </w:rPr>
              <w:t xml:space="preserve">Hud och subkutan vävnad </w:t>
            </w:r>
          </w:p>
        </w:tc>
        <w:tc>
          <w:tcPr>
            <w:tcW w:w="2098" w:type="dxa"/>
          </w:tcPr>
          <w:p w14:paraId="49DB94F8" w14:textId="77777777" w:rsidR="00A67877" w:rsidRPr="00743E51" w:rsidRDefault="00A67877" w:rsidP="00A67877">
            <w:pPr>
              <w:widowControl/>
              <w:tabs>
                <w:tab w:val="clear" w:pos="567"/>
                <w:tab w:val="left" w:pos="-13"/>
              </w:tabs>
              <w:ind w:hanging="13"/>
              <w:rPr>
                <w:color w:val="000000"/>
                <w:szCs w:val="22"/>
                <w:lang w:val="en-GB"/>
              </w:rPr>
            </w:pPr>
          </w:p>
        </w:tc>
        <w:tc>
          <w:tcPr>
            <w:tcW w:w="2410" w:type="dxa"/>
          </w:tcPr>
          <w:p w14:paraId="07EED606" w14:textId="77777777" w:rsidR="00A67877" w:rsidRPr="00743E51" w:rsidRDefault="00A67877" w:rsidP="00A67877">
            <w:pPr>
              <w:widowControl/>
              <w:tabs>
                <w:tab w:val="clear" w:pos="567"/>
                <w:tab w:val="left" w:pos="-13"/>
              </w:tabs>
              <w:ind w:hanging="13"/>
              <w:rPr>
                <w:color w:val="000000"/>
                <w:szCs w:val="22"/>
                <w:lang w:val="sv-SE"/>
              </w:rPr>
            </w:pPr>
            <w:r w:rsidRPr="00743E51">
              <w:rPr>
                <w:color w:val="000000"/>
                <w:szCs w:val="22"/>
                <w:lang w:val="sv-SE"/>
              </w:rPr>
              <w:t>Allergiska hudreaktioner (t.ex. utslag, klåda)</w:t>
            </w:r>
          </w:p>
        </w:tc>
        <w:tc>
          <w:tcPr>
            <w:tcW w:w="2409" w:type="dxa"/>
          </w:tcPr>
          <w:p w14:paraId="7095552E" w14:textId="77777777" w:rsidR="00A67877" w:rsidRPr="00743E51" w:rsidRDefault="00A67877" w:rsidP="00A67877">
            <w:pPr>
              <w:widowControl/>
              <w:tabs>
                <w:tab w:val="clear" w:pos="567"/>
                <w:tab w:val="left" w:pos="-60"/>
              </w:tabs>
              <w:rPr>
                <w:szCs w:val="22"/>
                <w:lang w:val="en-GB"/>
              </w:rPr>
            </w:pPr>
            <w:proofErr w:type="spellStart"/>
            <w:r w:rsidRPr="00743E51">
              <w:rPr>
                <w:szCs w:val="22"/>
                <w:lang w:val="en-GB"/>
              </w:rPr>
              <w:t>Angioödem</w:t>
            </w:r>
            <w:proofErr w:type="spellEnd"/>
            <w:r w:rsidRPr="00743E51">
              <w:rPr>
                <w:szCs w:val="22"/>
                <w:lang w:val="en-GB"/>
              </w:rPr>
              <w:t>*</w:t>
            </w:r>
          </w:p>
        </w:tc>
      </w:tr>
      <w:tr w:rsidR="00A67877" w:rsidRPr="00F00DA6" w14:paraId="666FC5E8" w14:textId="77777777" w:rsidTr="00A67877">
        <w:tc>
          <w:tcPr>
            <w:tcW w:w="2155" w:type="dxa"/>
          </w:tcPr>
          <w:p w14:paraId="7411C176" w14:textId="77777777" w:rsidR="00A67877" w:rsidRPr="00743E51" w:rsidRDefault="00A67877" w:rsidP="00A67877">
            <w:pPr>
              <w:widowControl/>
              <w:tabs>
                <w:tab w:val="clear" w:pos="567"/>
                <w:tab w:val="left" w:pos="0"/>
                <w:tab w:val="left" w:pos="426"/>
              </w:tabs>
              <w:rPr>
                <w:b/>
                <w:color w:val="000000"/>
                <w:szCs w:val="22"/>
                <w:lang w:val="en-GB"/>
              </w:rPr>
            </w:pPr>
            <w:proofErr w:type="spellStart"/>
            <w:r w:rsidRPr="00743E51">
              <w:rPr>
                <w:b/>
                <w:color w:val="000000"/>
                <w:szCs w:val="22"/>
                <w:lang w:val="en-GB"/>
              </w:rPr>
              <w:t>Magtarmkanalen</w:t>
            </w:r>
            <w:proofErr w:type="spellEnd"/>
          </w:p>
          <w:p w14:paraId="6837BB0F" w14:textId="77777777" w:rsidR="00A67877" w:rsidRPr="00743E51" w:rsidRDefault="00A67877" w:rsidP="00A67877">
            <w:pPr>
              <w:keepNext/>
              <w:keepLines/>
              <w:widowControl/>
              <w:tabs>
                <w:tab w:val="clear" w:pos="567"/>
                <w:tab w:val="left" w:pos="0"/>
                <w:tab w:val="left" w:pos="426"/>
              </w:tabs>
              <w:rPr>
                <w:b/>
                <w:color w:val="000000"/>
                <w:szCs w:val="22"/>
                <w:lang w:val="en-GB"/>
              </w:rPr>
            </w:pPr>
          </w:p>
        </w:tc>
        <w:tc>
          <w:tcPr>
            <w:tcW w:w="2098" w:type="dxa"/>
          </w:tcPr>
          <w:p w14:paraId="3D101D92" w14:textId="77777777" w:rsidR="00A67877" w:rsidRPr="00743E51" w:rsidRDefault="00A67877" w:rsidP="00A67877">
            <w:pPr>
              <w:widowControl/>
              <w:tabs>
                <w:tab w:val="clear" w:pos="567"/>
                <w:tab w:val="left" w:pos="-13"/>
              </w:tabs>
              <w:ind w:hanging="13"/>
              <w:rPr>
                <w:color w:val="000000"/>
                <w:szCs w:val="22"/>
                <w:lang w:val="en-GB"/>
              </w:rPr>
            </w:pPr>
          </w:p>
        </w:tc>
        <w:tc>
          <w:tcPr>
            <w:tcW w:w="2410" w:type="dxa"/>
          </w:tcPr>
          <w:p w14:paraId="2E4B2BD4" w14:textId="77777777" w:rsidR="00A67877" w:rsidRPr="00743E51" w:rsidRDefault="00A67877" w:rsidP="00A67877">
            <w:pPr>
              <w:widowControl/>
              <w:tabs>
                <w:tab w:val="clear" w:pos="567"/>
                <w:tab w:val="left" w:pos="-13"/>
              </w:tabs>
              <w:ind w:hanging="13"/>
              <w:rPr>
                <w:color w:val="000000"/>
                <w:szCs w:val="22"/>
                <w:lang w:val="sv-SE"/>
              </w:rPr>
            </w:pPr>
            <w:r w:rsidRPr="00743E51">
              <w:rPr>
                <w:color w:val="000000"/>
                <w:szCs w:val="22"/>
                <w:lang w:val="sv-SE"/>
              </w:rPr>
              <w:t>Ospecifika magbesvär (t.ex. illamående, diarré, kräkningar)</w:t>
            </w:r>
          </w:p>
          <w:p w14:paraId="14DD29ED" w14:textId="77777777" w:rsidR="00A67877" w:rsidRPr="00743E51" w:rsidRDefault="00A67877" w:rsidP="00A67877">
            <w:pPr>
              <w:widowControl/>
              <w:tabs>
                <w:tab w:val="clear" w:pos="567"/>
                <w:tab w:val="left" w:pos="-13"/>
              </w:tabs>
              <w:ind w:hanging="13"/>
              <w:rPr>
                <w:color w:val="000000"/>
                <w:szCs w:val="22"/>
                <w:lang w:val="sv-SE"/>
              </w:rPr>
            </w:pPr>
          </w:p>
        </w:tc>
        <w:tc>
          <w:tcPr>
            <w:tcW w:w="2409" w:type="dxa"/>
          </w:tcPr>
          <w:p w14:paraId="039E2EA3" w14:textId="77777777" w:rsidR="00A67877" w:rsidRPr="00743E51" w:rsidRDefault="00A67877" w:rsidP="00A67877">
            <w:pPr>
              <w:widowControl/>
              <w:tabs>
                <w:tab w:val="clear" w:pos="567"/>
                <w:tab w:val="left" w:pos="-60"/>
              </w:tabs>
              <w:rPr>
                <w:szCs w:val="22"/>
                <w:lang w:val="sv-SE"/>
              </w:rPr>
            </w:pPr>
          </w:p>
        </w:tc>
      </w:tr>
      <w:tr w:rsidR="00A67877" w:rsidRPr="0027385B" w14:paraId="586327D3" w14:textId="77777777" w:rsidTr="00A67877">
        <w:tc>
          <w:tcPr>
            <w:tcW w:w="2155" w:type="dxa"/>
          </w:tcPr>
          <w:p w14:paraId="690832F0" w14:textId="77777777" w:rsidR="00A67877" w:rsidRPr="00743E51" w:rsidRDefault="00A67877" w:rsidP="00A67877">
            <w:pPr>
              <w:keepNext/>
              <w:keepLines/>
              <w:widowControl/>
              <w:tabs>
                <w:tab w:val="clear" w:pos="567"/>
                <w:tab w:val="left" w:pos="0"/>
                <w:tab w:val="left" w:pos="426"/>
              </w:tabs>
              <w:rPr>
                <w:b/>
                <w:color w:val="000000"/>
                <w:szCs w:val="22"/>
                <w:lang w:val="sv-SE"/>
              </w:rPr>
            </w:pPr>
            <w:r w:rsidRPr="00743E51">
              <w:rPr>
                <w:b/>
                <w:color w:val="000000"/>
                <w:szCs w:val="22"/>
                <w:lang w:val="sv-SE"/>
              </w:rPr>
              <w:t>Allmänna symptom och/eller symtom vid administrerings</w:t>
            </w:r>
            <w:r>
              <w:rPr>
                <w:b/>
                <w:color w:val="000000"/>
                <w:szCs w:val="22"/>
                <w:lang w:val="sv-SE"/>
              </w:rPr>
              <w:t>-</w:t>
            </w:r>
            <w:r w:rsidRPr="00743E51">
              <w:rPr>
                <w:b/>
                <w:color w:val="000000"/>
                <w:szCs w:val="22"/>
                <w:lang w:val="sv-SE"/>
              </w:rPr>
              <w:t>stället</w:t>
            </w:r>
          </w:p>
        </w:tc>
        <w:tc>
          <w:tcPr>
            <w:tcW w:w="2098" w:type="dxa"/>
          </w:tcPr>
          <w:p w14:paraId="7A972356" w14:textId="77777777" w:rsidR="00A67877" w:rsidRPr="00743E51" w:rsidRDefault="00A67877" w:rsidP="00A67877">
            <w:pPr>
              <w:widowControl/>
              <w:tabs>
                <w:tab w:val="clear" w:pos="567"/>
                <w:tab w:val="left" w:pos="-13"/>
              </w:tabs>
              <w:ind w:hanging="13"/>
              <w:rPr>
                <w:color w:val="000000"/>
                <w:szCs w:val="22"/>
                <w:lang w:val="sv-SE"/>
              </w:rPr>
            </w:pPr>
          </w:p>
        </w:tc>
        <w:tc>
          <w:tcPr>
            <w:tcW w:w="2410" w:type="dxa"/>
          </w:tcPr>
          <w:p w14:paraId="133387A4" w14:textId="77777777" w:rsidR="00A67877" w:rsidRPr="00743E51" w:rsidRDefault="00A67877" w:rsidP="00A67877">
            <w:pPr>
              <w:widowControl/>
              <w:tabs>
                <w:tab w:val="clear" w:pos="567"/>
                <w:tab w:val="left" w:pos="-13"/>
              </w:tabs>
              <w:ind w:hanging="13"/>
              <w:rPr>
                <w:color w:val="000000"/>
                <w:szCs w:val="22"/>
                <w:lang w:val="sv-SE"/>
              </w:rPr>
            </w:pPr>
            <w:r w:rsidRPr="00743E51">
              <w:rPr>
                <w:color w:val="000000"/>
                <w:szCs w:val="22"/>
                <w:lang w:val="sv-SE"/>
              </w:rPr>
              <w:t>Astheni</w:t>
            </w:r>
          </w:p>
        </w:tc>
        <w:tc>
          <w:tcPr>
            <w:tcW w:w="2409" w:type="dxa"/>
          </w:tcPr>
          <w:p w14:paraId="3AE7598C" w14:textId="77777777" w:rsidR="00A67877" w:rsidRPr="00743E51" w:rsidRDefault="00A67877" w:rsidP="00A67877">
            <w:pPr>
              <w:widowControl/>
              <w:tabs>
                <w:tab w:val="clear" w:pos="567"/>
                <w:tab w:val="left" w:pos="-60"/>
              </w:tabs>
              <w:rPr>
                <w:color w:val="FF0000"/>
                <w:szCs w:val="22"/>
                <w:lang w:val="sv-SE"/>
              </w:rPr>
            </w:pPr>
          </w:p>
        </w:tc>
      </w:tr>
    </w:tbl>
    <w:p w14:paraId="6EFBACEE" w14:textId="77777777" w:rsidR="00A67877" w:rsidRPr="0027385B" w:rsidRDefault="00A67877" w:rsidP="00A67877">
      <w:pPr>
        <w:widowControl/>
        <w:tabs>
          <w:tab w:val="clear" w:pos="567"/>
        </w:tabs>
        <w:textAlignment w:val="top"/>
        <w:rPr>
          <w:szCs w:val="24"/>
          <w:lang w:val="sv-SE"/>
        </w:rPr>
      </w:pPr>
      <w:r w:rsidRPr="0027385B">
        <w:rPr>
          <w:szCs w:val="24"/>
          <w:lang w:val="sv-SE"/>
        </w:rPr>
        <w:t>* Förekommer inte i en högre frekvens än i placebogruppen.</w:t>
      </w:r>
    </w:p>
    <w:p w14:paraId="48261A26" w14:textId="77777777" w:rsidR="00A67877" w:rsidRPr="0027385B" w:rsidRDefault="00A67877" w:rsidP="00A67877">
      <w:pPr>
        <w:widowControl/>
        <w:tabs>
          <w:tab w:val="clear" w:pos="567"/>
        </w:tabs>
        <w:suppressAutoHyphens/>
        <w:rPr>
          <w:szCs w:val="24"/>
          <w:lang w:val="sv-SE"/>
        </w:rPr>
      </w:pPr>
    </w:p>
    <w:p w14:paraId="78C60F06" w14:textId="77777777" w:rsidR="00A67877" w:rsidRPr="0027385B" w:rsidRDefault="00A67877" w:rsidP="00A67877">
      <w:pPr>
        <w:widowControl/>
        <w:tabs>
          <w:tab w:val="clear" w:pos="567"/>
        </w:tabs>
        <w:rPr>
          <w:lang w:val="sv-SE"/>
        </w:rPr>
      </w:pPr>
      <w:r w:rsidRPr="0027385B">
        <w:rPr>
          <w:lang w:val="sv-SE"/>
        </w:rPr>
        <w:t>Förutom reaktionerna som observerats under kliniska prövningar har följande biverkningar rapporterats spontant från övervakning efter det att läkemedlet godkänts för försäljning. Frekvens kan inte uppskattas utifrån tillgänliga data (inte känd).</w:t>
      </w:r>
    </w:p>
    <w:p w14:paraId="613B569C" w14:textId="77777777" w:rsidR="00A67877" w:rsidRPr="0027385B" w:rsidRDefault="00A67877" w:rsidP="00A67877">
      <w:pPr>
        <w:widowControl/>
        <w:tabs>
          <w:tab w:val="clear" w:pos="567"/>
        </w:tabs>
        <w:rPr>
          <w:lang w:val="sv-SE"/>
        </w:rPr>
      </w:pPr>
    </w:p>
    <w:p w14:paraId="3C767B35" w14:textId="77777777" w:rsidR="00A67877" w:rsidRPr="00ED54E5" w:rsidRDefault="00A67877" w:rsidP="00A67877">
      <w:pPr>
        <w:widowControl/>
        <w:tabs>
          <w:tab w:val="clear" w:pos="567"/>
        </w:tabs>
        <w:rPr>
          <w:i/>
          <w:iCs/>
          <w:lang w:val="sv-SE"/>
        </w:rPr>
      </w:pPr>
      <w:r w:rsidRPr="00ED54E5">
        <w:rPr>
          <w:i/>
          <w:iCs/>
          <w:lang w:val="sv-SE"/>
        </w:rPr>
        <w:t>Njurar och urinvägar</w:t>
      </w:r>
    </w:p>
    <w:p w14:paraId="2861869C" w14:textId="77777777" w:rsidR="00A67877" w:rsidRPr="0027385B" w:rsidRDefault="00A67877" w:rsidP="00A67877">
      <w:pPr>
        <w:widowControl/>
        <w:tabs>
          <w:tab w:val="clear" w:pos="567"/>
        </w:tabs>
        <w:rPr>
          <w:szCs w:val="24"/>
          <w:lang w:val="sv-SE"/>
        </w:rPr>
      </w:pPr>
      <w:r w:rsidRPr="0027385B">
        <w:rPr>
          <w:lang w:val="sv-SE"/>
        </w:rPr>
        <w:t xml:space="preserve">Nedsatt njurfunktion inklusive njursvikt hos riskpatienter (t.ex. </w:t>
      </w:r>
      <w:r w:rsidRPr="0027385B">
        <w:rPr>
          <w:szCs w:val="24"/>
          <w:lang w:val="sv-SE"/>
        </w:rPr>
        <w:t>njurartärstenos</w:t>
      </w:r>
      <w:r w:rsidRPr="0027385B">
        <w:rPr>
          <w:lang w:val="sv-SE"/>
        </w:rPr>
        <w:t>).</w:t>
      </w:r>
    </w:p>
    <w:p w14:paraId="4075C6CB" w14:textId="77777777" w:rsidR="00A67877" w:rsidRPr="0027385B" w:rsidRDefault="00A67877" w:rsidP="00A67877">
      <w:pPr>
        <w:widowControl/>
        <w:suppressLineNumbers/>
        <w:tabs>
          <w:tab w:val="clear" w:pos="567"/>
        </w:tabs>
        <w:autoSpaceDE w:val="0"/>
        <w:autoSpaceDN w:val="0"/>
        <w:adjustRightInd w:val="0"/>
        <w:jc w:val="both"/>
        <w:rPr>
          <w:noProof/>
          <w:sz w:val="24"/>
          <w:szCs w:val="22"/>
          <w:u w:val="single"/>
          <w:lang w:val="sv-SE"/>
        </w:rPr>
      </w:pPr>
    </w:p>
    <w:p w14:paraId="01583576" w14:textId="77777777" w:rsidR="00A67877" w:rsidRPr="00ED54E5" w:rsidRDefault="00A67877" w:rsidP="00A67877">
      <w:pPr>
        <w:widowControl/>
        <w:suppressLineNumbers/>
        <w:tabs>
          <w:tab w:val="clear" w:pos="567"/>
        </w:tabs>
        <w:autoSpaceDE w:val="0"/>
        <w:autoSpaceDN w:val="0"/>
        <w:adjustRightInd w:val="0"/>
        <w:jc w:val="both"/>
        <w:rPr>
          <w:bCs/>
          <w:i/>
          <w:iCs/>
          <w:noProof/>
          <w:szCs w:val="22"/>
          <w:lang w:val="sv-SE"/>
        </w:rPr>
      </w:pPr>
      <w:r w:rsidRPr="00ED54E5">
        <w:rPr>
          <w:bCs/>
          <w:i/>
          <w:iCs/>
          <w:noProof/>
          <w:szCs w:val="22"/>
          <w:lang w:val="sv-SE"/>
        </w:rPr>
        <w:t>Muskuloskeletala systemet och bindväv</w:t>
      </w:r>
    </w:p>
    <w:p w14:paraId="3007AFEF" w14:textId="77777777" w:rsidR="00A67877" w:rsidRPr="00743E51" w:rsidRDefault="00A67877" w:rsidP="00A67877">
      <w:pPr>
        <w:widowControl/>
        <w:suppressLineNumbers/>
        <w:tabs>
          <w:tab w:val="clear" w:pos="567"/>
        </w:tabs>
        <w:autoSpaceDE w:val="0"/>
        <w:autoSpaceDN w:val="0"/>
        <w:adjustRightInd w:val="0"/>
        <w:jc w:val="both"/>
        <w:rPr>
          <w:noProof/>
          <w:szCs w:val="22"/>
          <w:lang w:val="sv-SE"/>
        </w:rPr>
      </w:pPr>
      <w:r w:rsidRPr="00743E51">
        <w:rPr>
          <w:noProof/>
          <w:szCs w:val="22"/>
          <w:lang w:val="sv-SE"/>
        </w:rPr>
        <w:t>Artralgi</w:t>
      </w:r>
    </w:p>
    <w:p w14:paraId="31F522EB" w14:textId="77777777" w:rsidR="00A67877" w:rsidRPr="00743E51" w:rsidRDefault="00A67877" w:rsidP="00A67877">
      <w:pPr>
        <w:widowControl/>
        <w:suppressLineNumbers/>
        <w:tabs>
          <w:tab w:val="clear" w:pos="567"/>
        </w:tabs>
        <w:autoSpaceDE w:val="0"/>
        <w:autoSpaceDN w:val="0"/>
        <w:adjustRightInd w:val="0"/>
        <w:jc w:val="both"/>
        <w:rPr>
          <w:b/>
          <w:noProof/>
          <w:szCs w:val="22"/>
          <w:u w:val="single"/>
          <w:lang w:val="sv-SE"/>
        </w:rPr>
      </w:pPr>
    </w:p>
    <w:p w14:paraId="24494E1A" w14:textId="77777777" w:rsidR="00A67877" w:rsidRPr="00ED54E5" w:rsidRDefault="00A67877" w:rsidP="00A67877">
      <w:pPr>
        <w:widowControl/>
        <w:suppressLineNumbers/>
        <w:tabs>
          <w:tab w:val="clear" w:pos="567"/>
        </w:tabs>
        <w:autoSpaceDE w:val="0"/>
        <w:autoSpaceDN w:val="0"/>
        <w:adjustRightInd w:val="0"/>
        <w:jc w:val="both"/>
        <w:rPr>
          <w:bCs/>
          <w:szCs w:val="22"/>
          <w:u w:val="single"/>
          <w:lang w:val="sv-SE"/>
        </w:rPr>
      </w:pPr>
      <w:r w:rsidRPr="00ED54E5">
        <w:rPr>
          <w:bCs/>
          <w:noProof/>
          <w:szCs w:val="22"/>
          <w:u w:val="single"/>
          <w:lang w:val="sv-SE"/>
        </w:rPr>
        <w:t>Rapportering av misstänkta biverkningar</w:t>
      </w:r>
    </w:p>
    <w:p w14:paraId="2B460A89" w14:textId="77777777" w:rsidR="00A67877" w:rsidRPr="00743E51" w:rsidRDefault="00A67877" w:rsidP="00A67877">
      <w:pPr>
        <w:widowControl/>
        <w:tabs>
          <w:tab w:val="clear" w:pos="567"/>
          <w:tab w:val="left" w:pos="-720"/>
          <w:tab w:val="left" w:pos="4536"/>
        </w:tabs>
        <w:suppressAutoHyphens/>
        <w:rPr>
          <w:noProof/>
          <w:szCs w:val="22"/>
          <w:lang w:val="sv-SE"/>
        </w:rPr>
      </w:pPr>
      <w:r w:rsidRPr="00743E51">
        <w:rPr>
          <w:noProof/>
          <w:szCs w:val="22"/>
          <w:lang w:val="sv-SE"/>
        </w:rPr>
        <w:t>Det är viktigt att rapportera misstänkta biverkningar efter att läkemedlet godkänts.</w:t>
      </w:r>
      <w:r w:rsidRPr="00743E51">
        <w:rPr>
          <w:szCs w:val="22"/>
          <w:lang w:val="sv-SE"/>
        </w:rPr>
        <w:t xml:space="preserve"> </w:t>
      </w:r>
      <w:r w:rsidRPr="00743E51">
        <w:rPr>
          <w:noProof/>
          <w:szCs w:val="22"/>
          <w:lang w:val="sv-SE"/>
        </w:rPr>
        <w:t>Det gör det möjligt att kontinuerligt övervaka läkemedlets nytta-riskförhållande.</w:t>
      </w:r>
      <w:r w:rsidRPr="00743E51">
        <w:rPr>
          <w:szCs w:val="22"/>
          <w:lang w:val="sv-SE"/>
        </w:rPr>
        <w:t xml:space="preserve"> </w:t>
      </w:r>
      <w:r w:rsidRPr="00743E51">
        <w:rPr>
          <w:noProof/>
          <w:szCs w:val="22"/>
          <w:lang w:val="sv-SE"/>
        </w:rPr>
        <w:t>Hälso- och sjukvårdspersonal uppmanas att rapportera varje misstänkt biverkning till</w:t>
      </w:r>
      <w:r>
        <w:rPr>
          <w:noProof/>
          <w:szCs w:val="22"/>
          <w:lang w:val="sv-SE"/>
        </w:rPr>
        <w:t>:</w:t>
      </w:r>
    </w:p>
    <w:p w14:paraId="390EE5C0" w14:textId="77777777" w:rsidR="00A67877" w:rsidRPr="0027385B" w:rsidRDefault="00A67877" w:rsidP="00A67877">
      <w:pPr>
        <w:widowControl/>
        <w:tabs>
          <w:tab w:val="clear" w:pos="567"/>
          <w:tab w:val="left" w:pos="-720"/>
          <w:tab w:val="left" w:pos="4536"/>
        </w:tabs>
        <w:suppressAutoHyphens/>
        <w:rPr>
          <w:rFonts w:eastAsia="Calibri"/>
          <w:b/>
          <w:noProof/>
          <w:szCs w:val="22"/>
          <w:lang w:val="sv-SE" w:eastAsia="zh-CN"/>
        </w:rPr>
      </w:pPr>
      <w:r w:rsidRPr="0027385B">
        <w:rPr>
          <w:noProof/>
          <w:sz w:val="24"/>
          <w:szCs w:val="22"/>
          <w:lang w:val="sv-SE"/>
        </w:rPr>
        <w:t xml:space="preserve"> </w:t>
      </w:r>
    </w:p>
    <w:p w14:paraId="0B90CCE2" w14:textId="77777777" w:rsidR="00A67877" w:rsidRPr="00414766" w:rsidRDefault="00A67877" w:rsidP="00A67877">
      <w:pPr>
        <w:widowControl/>
        <w:tabs>
          <w:tab w:val="clear" w:pos="567"/>
        </w:tabs>
        <w:suppressAutoHyphens/>
        <w:rPr>
          <w:rFonts w:eastAsia="Calibri"/>
          <w:bCs/>
          <w:lang w:val="sv-SE" w:eastAsia="zh-CN"/>
        </w:rPr>
      </w:pPr>
      <w:r w:rsidRPr="00414766">
        <w:rPr>
          <w:rFonts w:eastAsia="Calibri"/>
          <w:bCs/>
          <w:lang w:val="sv-SE" w:eastAsia="zh-CN"/>
        </w:rPr>
        <w:t>webbplats: www.fimea.fi</w:t>
      </w:r>
    </w:p>
    <w:p w14:paraId="4D10B8E4" w14:textId="77777777" w:rsidR="00A67877" w:rsidRPr="00414766" w:rsidRDefault="00A67877" w:rsidP="00A67877">
      <w:pPr>
        <w:widowControl/>
        <w:tabs>
          <w:tab w:val="clear" w:pos="567"/>
        </w:tabs>
        <w:suppressAutoHyphens/>
        <w:rPr>
          <w:rFonts w:eastAsia="Calibri"/>
          <w:bCs/>
          <w:lang w:val="sv-SE" w:eastAsia="zh-CN"/>
        </w:rPr>
      </w:pPr>
      <w:r w:rsidRPr="00414766">
        <w:rPr>
          <w:rFonts w:eastAsia="Calibri"/>
          <w:bCs/>
          <w:lang w:val="sv-SE" w:eastAsia="zh-CN"/>
        </w:rPr>
        <w:t>Säkerhets‐ och utvecklingscentret för läkemedelsområdet Fimea</w:t>
      </w:r>
    </w:p>
    <w:p w14:paraId="1591E4EA" w14:textId="77777777" w:rsidR="00A67877" w:rsidRPr="00414766" w:rsidRDefault="00A67877" w:rsidP="00A67877">
      <w:pPr>
        <w:widowControl/>
        <w:tabs>
          <w:tab w:val="clear" w:pos="567"/>
        </w:tabs>
        <w:suppressAutoHyphens/>
        <w:rPr>
          <w:rFonts w:eastAsia="Calibri"/>
          <w:bCs/>
          <w:lang w:val="sv-SE" w:eastAsia="zh-CN"/>
        </w:rPr>
      </w:pPr>
      <w:r w:rsidRPr="00414766">
        <w:rPr>
          <w:rFonts w:eastAsia="Calibri"/>
          <w:bCs/>
          <w:lang w:val="sv-SE" w:eastAsia="zh-CN"/>
        </w:rPr>
        <w:t>Biverkningsregistret</w:t>
      </w:r>
    </w:p>
    <w:p w14:paraId="19078F92" w14:textId="77777777" w:rsidR="00A67877" w:rsidRPr="00414766" w:rsidRDefault="00A67877" w:rsidP="00A67877">
      <w:pPr>
        <w:widowControl/>
        <w:tabs>
          <w:tab w:val="clear" w:pos="567"/>
        </w:tabs>
        <w:suppressAutoHyphens/>
        <w:rPr>
          <w:rFonts w:eastAsia="Calibri"/>
          <w:bCs/>
          <w:lang w:val="sv-SE" w:eastAsia="zh-CN"/>
        </w:rPr>
      </w:pPr>
      <w:r w:rsidRPr="00414766">
        <w:rPr>
          <w:rFonts w:eastAsia="Calibri"/>
          <w:bCs/>
          <w:lang w:val="sv-SE" w:eastAsia="zh-CN"/>
        </w:rPr>
        <w:t>PB 55</w:t>
      </w:r>
    </w:p>
    <w:p w14:paraId="521B8E1C" w14:textId="77777777" w:rsidR="00A67877" w:rsidRPr="0027385B" w:rsidRDefault="00A67877" w:rsidP="00A67877">
      <w:pPr>
        <w:widowControl/>
        <w:tabs>
          <w:tab w:val="clear" w:pos="567"/>
        </w:tabs>
        <w:suppressAutoHyphens/>
        <w:rPr>
          <w:rFonts w:ascii="Verdana" w:hAnsi="Verdana"/>
          <w:color w:val="434343"/>
          <w:sz w:val="17"/>
          <w:szCs w:val="17"/>
          <w:lang w:val="sv-SE"/>
        </w:rPr>
      </w:pPr>
      <w:r w:rsidRPr="00414766">
        <w:rPr>
          <w:rFonts w:eastAsia="Calibri"/>
          <w:bCs/>
          <w:lang w:val="sv-SE" w:eastAsia="zh-CN"/>
        </w:rPr>
        <w:t>00034 FIMEA</w:t>
      </w:r>
    </w:p>
    <w:p w14:paraId="06279940" w14:textId="77777777" w:rsidR="00A67877" w:rsidRPr="0027385B" w:rsidRDefault="00A67877" w:rsidP="00A67877">
      <w:pPr>
        <w:widowControl/>
        <w:tabs>
          <w:tab w:val="clear" w:pos="567"/>
        </w:tabs>
        <w:suppressAutoHyphens/>
        <w:rPr>
          <w:szCs w:val="24"/>
          <w:lang w:val="sv-SE"/>
        </w:rPr>
      </w:pPr>
    </w:p>
    <w:p w14:paraId="382ECDE5"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Överdosering</w:t>
      </w:r>
    </w:p>
    <w:p w14:paraId="769D9305" w14:textId="77777777" w:rsidR="00A67877" w:rsidRPr="0027385B" w:rsidRDefault="00A67877" w:rsidP="00A67877">
      <w:pPr>
        <w:widowControl/>
        <w:tabs>
          <w:tab w:val="clear" w:pos="567"/>
        </w:tabs>
        <w:rPr>
          <w:szCs w:val="24"/>
          <w:lang w:val="sv-SE"/>
        </w:rPr>
      </w:pPr>
    </w:p>
    <w:p w14:paraId="161E15F0" w14:textId="77777777" w:rsidR="00A67877" w:rsidRPr="0027385B" w:rsidRDefault="00A67877" w:rsidP="00A67877">
      <w:pPr>
        <w:widowControl/>
        <w:tabs>
          <w:tab w:val="clear" w:pos="567"/>
        </w:tabs>
        <w:rPr>
          <w:lang w:val="sv-SE"/>
        </w:rPr>
      </w:pPr>
      <w:r w:rsidRPr="0027385B">
        <w:rPr>
          <w:lang w:val="sv-SE"/>
        </w:rPr>
        <w:t>Data angående överdosering på människa är begränsade. Efter marknadsföringen har enstaka fall rapporterats där doser upp till 12000 mg intagits. De flesta patienter rapporterade inga symtom. Hos en patient uppträdde cirkulatorisk kollaps efter intag av 12000 mg eprosartan. Personen tillfrisknade fullständigt. Den troligaste effekten vid överdosering med eprosartan är hypotoni. Om symptomatisk hypotoni inträffar skall understödjande behandling insättas.</w:t>
      </w:r>
    </w:p>
    <w:p w14:paraId="1B3C5A0D" w14:textId="77777777" w:rsidR="00A67877" w:rsidRPr="0027385B" w:rsidRDefault="00A67877" w:rsidP="00A67877">
      <w:pPr>
        <w:widowControl/>
        <w:tabs>
          <w:tab w:val="clear" w:pos="567"/>
        </w:tabs>
        <w:rPr>
          <w:szCs w:val="24"/>
          <w:lang w:val="sv-SE"/>
        </w:rPr>
      </w:pPr>
    </w:p>
    <w:p w14:paraId="75577199" w14:textId="77777777" w:rsidR="00A67877" w:rsidRPr="0027385B" w:rsidRDefault="00A67877" w:rsidP="00A67877">
      <w:pPr>
        <w:widowControl/>
        <w:tabs>
          <w:tab w:val="clear" w:pos="567"/>
        </w:tabs>
        <w:rPr>
          <w:szCs w:val="24"/>
          <w:lang w:val="sv-SE"/>
        </w:rPr>
      </w:pPr>
    </w:p>
    <w:p w14:paraId="36ADE25C" w14:textId="77777777" w:rsidR="00A67877" w:rsidRPr="0027385B" w:rsidRDefault="00A67877" w:rsidP="00A67877">
      <w:pPr>
        <w:keepNext/>
        <w:widowControl/>
        <w:numPr>
          <w:ilvl w:val="0"/>
          <w:numId w:val="9"/>
        </w:numPr>
        <w:outlineLvl w:val="1"/>
        <w:rPr>
          <w:b/>
          <w:caps/>
          <w:szCs w:val="24"/>
          <w:lang w:val="sv-SE"/>
        </w:rPr>
      </w:pPr>
      <w:r w:rsidRPr="0027385B">
        <w:rPr>
          <w:b/>
          <w:caps/>
          <w:szCs w:val="24"/>
          <w:lang w:val="sv-SE"/>
        </w:rPr>
        <w:lastRenderedPageBreak/>
        <w:t>Farmakologiska Egenskaper</w:t>
      </w:r>
    </w:p>
    <w:p w14:paraId="47D1ACED" w14:textId="77777777" w:rsidR="00A67877" w:rsidRPr="0027385B" w:rsidRDefault="00A67877" w:rsidP="00A67877">
      <w:pPr>
        <w:keepNext/>
        <w:widowControl/>
        <w:tabs>
          <w:tab w:val="clear" w:pos="567"/>
        </w:tabs>
        <w:rPr>
          <w:lang w:val="sv-SE"/>
        </w:rPr>
      </w:pPr>
    </w:p>
    <w:p w14:paraId="51E3E134"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Farmakodynamiska egenskaper</w:t>
      </w:r>
    </w:p>
    <w:p w14:paraId="2E437151" w14:textId="77777777" w:rsidR="00A67877" w:rsidRPr="0027385B" w:rsidRDefault="00A67877" w:rsidP="00A67877">
      <w:pPr>
        <w:keepNext/>
        <w:widowControl/>
        <w:tabs>
          <w:tab w:val="clear" w:pos="567"/>
        </w:tabs>
        <w:rPr>
          <w:szCs w:val="24"/>
          <w:lang w:val="sv-SE"/>
        </w:rPr>
      </w:pPr>
    </w:p>
    <w:p w14:paraId="6C5EF9B4" w14:textId="77777777" w:rsidR="00A67877" w:rsidRPr="0027385B" w:rsidRDefault="00A67877" w:rsidP="00A67877">
      <w:pPr>
        <w:keepNext/>
        <w:widowControl/>
        <w:tabs>
          <w:tab w:val="clear" w:pos="567"/>
        </w:tabs>
        <w:rPr>
          <w:szCs w:val="24"/>
          <w:lang w:val="sv-SE"/>
        </w:rPr>
      </w:pPr>
      <w:r w:rsidRPr="0027385B">
        <w:rPr>
          <w:szCs w:val="24"/>
          <w:lang w:val="sv-SE"/>
        </w:rPr>
        <w:t>Farmakoterapeutisk grupp: Eprosartan. ATC-kod: C09CA02</w:t>
      </w:r>
    </w:p>
    <w:p w14:paraId="129E60F6" w14:textId="77777777" w:rsidR="00A67877" w:rsidRPr="0027385B" w:rsidRDefault="00A67877" w:rsidP="00A67877">
      <w:pPr>
        <w:widowControl/>
        <w:tabs>
          <w:tab w:val="clear" w:pos="567"/>
        </w:tabs>
        <w:rPr>
          <w:szCs w:val="24"/>
          <w:lang w:val="sv-SE"/>
        </w:rPr>
      </w:pPr>
    </w:p>
    <w:p w14:paraId="60FA6680" w14:textId="77777777" w:rsidR="00A67877" w:rsidRPr="0027385B" w:rsidRDefault="00A67877" w:rsidP="00A67877">
      <w:pPr>
        <w:widowControl/>
        <w:tabs>
          <w:tab w:val="clear" w:pos="567"/>
        </w:tabs>
        <w:rPr>
          <w:szCs w:val="24"/>
          <w:lang w:val="sv-SE"/>
        </w:rPr>
      </w:pPr>
      <w:r w:rsidRPr="0027385B">
        <w:rPr>
          <w:szCs w:val="24"/>
          <w:lang w:val="sv-SE"/>
        </w:rPr>
        <w:t>Eprosartan är en syntetisk, peroralt verkande, icke-bifenyl, icke-tetrazol angiotensin II-receptor</w:t>
      </w:r>
      <w:r w:rsidRPr="0027385B">
        <w:rPr>
          <w:szCs w:val="22"/>
          <w:lang w:val="sv-SE"/>
        </w:rPr>
        <w:t>blockerare</w:t>
      </w:r>
      <w:r w:rsidRPr="0027385B">
        <w:rPr>
          <w:szCs w:val="24"/>
          <w:lang w:val="sv-SE"/>
        </w:rPr>
        <w:t>.</w:t>
      </w:r>
    </w:p>
    <w:p w14:paraId="013B31FE" w14:textId="77777777" w:rsidR="00A67877" w:rsidRPr="0027385B" w:rsidRDefault="00A67877" w:rsidP="00A67877">
      <w:pPr>
        <w:widowControl/>
        <w:tabs>
          <w:tab w:val="clear" w:pos="567"/>
        </w:tabs>
        <w:rPr>
          <w:szCs w:val="24"/>
          <w:lang w:val="sv-SE"/>
        </w:rPr>
      </w:pPr>
    </w:p>
    <w:p w14:paraId="56F9898E" w14:textId="77777777" w:rsidR="00A67877" w:rsidRPr="0027385B" w:rsidRDefault="00A67877" w:rsidP="00A67877">
      <w:pPr>
        <w:widowControl/>
        <w:tabs>
          <w:tab w:val="clear" w:pos="567"/>
        </w:tabs>
        <w:rPr>
          <w:szCs w:val="24"/>
          <w:lang w:val="sv-SE"/>
        </w:rPr>
      </w:pPr>
      <w:r w:rsidRPr="0027385B">
        <w:rPr>
          <w:szCs w:val="24"/>
          <w:lang w:val="sv-SE"/>
        </w:rPr>
        <w:t xml:space="preserve">Angiotensin II, som är det primärt aktiva hormonet i renin-angiotensin-aldosteronsystemet och en potent vasokonstriktor, har en central roll i patofysiologin vid hypertoni. </w:t>
      </w:r>
    </w:p>
    <w:p w14:paraId="3E1EF3D7" w14:textId="77777777" w:rsidR="00A67877" w:rsidRPr="0027385B" w:rsidRDefault="00A67877" w:rsidP="00A67877">
      <w:pPr>
        <w:widowControl/>
        <w:tabs>
          <w:tab w:val="clear" w:pos="567"/>
        </w:tabs>
        <w:rPr>
          <w:szCs w:val="24"/>
          <w:lang w:val="sv-SE"/>
        </w:rPr>
      </w:pPr>
      <w:r w:rsidRPr="0027385B">
        <w:rPr>
          <w:szCs w:val="24"/>
          <w:lang w:val="sv-SE"/>
        </w:rPr>
        <w:t>Eprosartan motverkar effekten av angiotensin II på blodtryck, renalt blodflöde och aldosteron</w:t>
      </w:r>
      <w:r w:rsidRPr="0027385B">
        <w:rPr>
          <w:szCs w:val="24"/>
          <w:lang w:val="sv-SE"/>
        </w:rPr>
        <w:softHyphen/>
        <w:t xml:space="preserve">sekretion hos friska försökspersoner. </w:t>
      </w:r>
      <w:r w:rsidRPr="008151DF">
        <w:rPr>
          <w:szCs w:val="22"/>
          <w:lang w:val="sv-SE"/>
        </w:rPr>
        <w:t xml:space="preserve">Den blodtryckssänkande effekten kvarstår </w:t>
      </w:r>
      <w:r w:rsidRPr="0027385B">
        <w:rPr>
          <w:szCs w:val="24"/>
          <w:lang w:val="sv-SE"/>
        </w:rPr>
        <w:t>under 24 timmar utan postural hypotension eller reflextakykardi av första dosen. Avbruten behandling med eprosartan leder inte till en snabb ”rebound” ökning av blodtrycket.</w:t>
      </w:r>
    </w:p>
    <w:p w14:paraId="447D4996" w14:textId="77777777" w:rsidR="00A67877" w:rsidRPr="0027385B" w:rsidRDefault="00A67877" w:rsidP="00A67877">
      <w:pPr>
        <w:widowControl/>
        <w:tabs>
          <w:tab w:val="clear" w:pos="567"/>
        </w:tabs>
        <w:rPr>
          <w:szCs w:val="24"/>
          <w:lang w:val="sv-SE"/>
        </w:rPr>
      </w:pPr>
    </w:p>
    <w:p w14:paraId="157CC81A" w14:textId="77777777" w:rsidR="00A67877" w:rsidRPr="0027385B" w:rsidRDefault="00A67877" w:rsidP="00A67877">
      <w:pPr>
        <w:widowControl/>
        <w:tabs>
          <w:tab w:val="clear" w:pos="567"/>
        </w:tabs>
        <w:rPr>
          <w:szCs w:val="24"/>
          <w:lang w:val="sv-SE"/>
        </w:rPr>
      </w:pPr>
      <w:r w:rsidRPr="0027385B">
        <w:rPr>
          <w:szCs w:val="24"/>
          <w:lang w:val="sv-SE"/>
        </w:rPr>
        <w:t xml:space="preserve">Eprosartan har studerats hos patienter med mild till måttlig hypertoni (diastoliskt blodtryck </w:t>
      </w:r>
      <w:r w:rsidRPr="0027385B">
        <w:rPr>
          <w:szCs w:val="24"/>
          <w:u w:val="single"/>
          <w:lang w:val="sv-SE"/>
        </w:rPr>
        <w:t>&gt;</w:t>
      </w:r>
      <w:r w:rsidRPr="0027385B">
        <w:rPr>
          <w:szCs w:val="24"/>
          <w:lang w:val="sv-SE"/>
        </w:rPr>
        <w:t xml:space="preserve">95 mmHg och &lt;115 mmHg, sittande) och svår hypertoni (diastoliskt blodtryck </w:t>
      </w:r>
      <w:r w:rsidRPr="0027385B">
        <w:rPr>
          <w:szCs w:val="24"/>
          <w:u w:val="single"/>
          <w:lang w:val="sv-SE"/>
        </w:rPr>
        <w:t>&gt;</w:t>
      </w:r>
      <w:r w:rsidRPr="0027385B">
        <w:rPr>
          <w:szCs w:val="24"/>
          <w:lang w:val="sv-SE"/>
        </w:rPr>
        <w:t xml:space="preserve">115 mmHg och </w:t>
      </w:r>
      <w:r w:rsidRPr="0027385B">
        <w:rPr>
          <w:szCs w:val="24"/>
          <w:u w:val="single"/>
          <w:lang w:val="sv-SE"/>
        </w:rPr>
        <w:t>&lt;</w:t>
      </w:r>
      <w:r w:rsidRPr="0027385B">
        <w:rPr>
          <w:szCs w:val="24"/>
          <w:lang w:val="sv-SE"/>
        </w:rPr>
        <w:t xml:space="preserve">125 mmHg, sittande). </w:t>
      </w:r>
    </w:p>
    <w:p w14:paraId="6F15414B" w14:textId="77777777" w:rsidR="00A67877" w:rsidRPr="0027385B" w:rsidRDefault="00A67877" w:rsidP="00A67877">
      <w:pPr>
        <w:widowControl/>
        <w:tabs>
          <w:tab w:val="clear" w:pos="567"/>
        </w:tabs>
        <w:rPr>
          <w:szCs w:val="24"/>
          <w:lang w:val="sv-SE"/>
        </w:rPr>
      </w:pPr>
      <w:r w:rsidRPr="0027385B">
        <w:rPr>
          <w:szCs w:val="24"/>
          <w:lang w:val="sv-SE"/>
        </w:rPr>
        <w:t>Doser upp till 1200 mg per dag i 8 veckor har i kliniska studier visat effekt utan något uppenbart dossamband vad beträffar incidensen av biverkningar.</w:t>
      </w:r>
    </w:p>
    <w:p w14:paraId="1D76CEC3" w14:textId="77777777" w:rsidR="00A67877" w:rsidRPr="0027385B" w:rsidRDefault="00A67877" w:rsidP="00A67877">
      <w:pPr>
        <w:widowControl/>
        <w:tabs>
          <w:tab w:val="clear" w:pos="567"/>
        </w:tabs>
        <w:rPr>
          <w:szCs w:val="24"/>
          <w:lang w:val="sv-SE"/>
        </w:rPr>
      </w:pPr>
    </w:p>
    <w:p w14:paraId="71E6D3B2" w14:textId="77777777" w:rsidR="00A67877" w:rsidRPr="0027385B" w:rsidRDefault="00A67877" w:rsidP="00A67877">
      <w:pPr>
        <w:widowControl/>
        <w:tabs>
          <w:tab w:val="clear" w:pos="567"/>
        </w:tabs>
        <w:rPr>
          <w:szCs w:val="24"/>
          <w:lang w:val="sv-SE"/>
        </w:rPr>
      </w:pPr>
      <w:r w:rsidRPr="0027385B">
        <w:rPr>
          <w:szCs w:val="24"/>
          <w:lang w:val="sv-SE"/>
        </w:rPr>
        <w:t>Hos patienter med hypertoni medför blodtryckssänkningen inte någon förändring i hjärtfrekvens.</w:t>
      </w:r>
    </w:p>
    <w:p w14:paraId="3F545118" w14:textId="77777777" w:rsidR="00A67877" w:rsidRPr="0027385B" w:rsidRDefault="00A67877" w:rsidP="00A67877">
      <w:pPr>
        <w:widowControl/>
        <w:tabs>
          <w:tab w:val="clear" w:pos="567"/>
        </w:tabs>
        <w:rPr>
          <w:szCs w:val="24"/>
          <w:lang w:val="sv-SE"/>
        </w:rPr>
      </w:pPr>
    </w:p>
    <w:p w14:paraId="20B7E242" w14:textId="77777777" w:rsidR="00A67877" w:rsidRPr="0027385B" w:rsidRDefault="00A67877" w:rsidP="00A67877">
      <w:pPr>
        <w:widowControl/>
        <w:tabs>
          <w:tab w:val="clear" w:pos="567"/>
        </w:tabs>
        <w:rPr>
          <w:szCs w:val="24"/>
          <w:lang w:val="sv-SE"/>
        </w:rPr>
      </w:pPr>
      <w:r w:rsidRPr="0027385B">
        <w:rPr>
          <w:szCs w:val="24"/>
          <w:lang w:val="sv-SE"/>
        </w:rPr>
        <w:t xml:space="preserve">I MOSES-studien (morbiditet och mortalitet efter stroke, eprosartan jämfört med nitrendipin för sekundärprevention) behandlades 1405 hypertonipatienter med cerebrovaskulära händelser i anamnesen med antingen eprosartan eller nitrendipin. Studien hade en prospektiv, randomiserad och öppen studiedesign med blindad observatör. I eprosartangruppen fick 78 % av patienterna 600 mg dagligen; 12 % fick upp till 800 mg per dag. I nitrendipingruppen fick 47 % 10 mg dagligen och 42 % 20 mg per dag (11 % fick upp till 40 mg dagligen). Det primära </w:t>
      </w:r>
      <w:r w:rsidRPr="00AF01D5">
        <w:rPr>
          <w:szCs w:val="24"/>
          <w:lang w:val="sv-SE"/>
        </w:rPr>
        <w:t>sammansatta effekt</w:t>
      </w:r>
      <w:r w:rsidRPr="0027385B">
        <w:rPr>
          <w:szCs w:val="24"/>
          <w:lang w:val="sv-SE"/>
        </w:rPr>
        <w:t>måttet inkluderade mortalitet oavsett orsak, cerebrovaskulära händelser (TIA, PRIND, Stroke) och kardiovaskulära händelser (instabil angina, hjärtinfarkt, hjärtsvikt, pulmonell embolism och dödlig hjärtarytmi) inklusive upprepade händelser. Det avsedda blodtrycksmålet uppnåddes väl för båda behandlingsgrupperna och bibehölls under hela studien.</w:t>
      </w:r>
    </w:p>
    <w:p w14:paraId="496FBDF7" w14:textId="77777777" w:rsidR="00A67877" w:rsidRPr="0027385B" w:rsidRDefault="00A67877" w:rsidP="00A67877">
      <w:pPr>
        <w:widowControl/>
        <w:tabs>
          <w:tab w:val="clear" w:pos="567"/>
        </w:tabs>
        <w:rPr>
          <w:szCs w:val="24"/>
          <w:lang w:val="sv-SE"/>
        </w:rPr>
      </w:pPr>
      <w:r w:rsidRPr="0027385B">
        <w:rPr>
          <w:szCs w:val="24"/>
          <w:lang w:val="sv-SE"/>
        </w:rPr>
        <w:t>Eprosartangruppen visade signifikant bättre resultat vad gäller det primära effektmåttet (risken reducerades med 21 %). Vid första-händelse-analys var den numeriska riskreduktionen 12 % för cerebrovaskulära händelser och 30 % för kardiovaskulära händelser. Dessa resultat beror huvudsakligen på en minskning i incidensen av TIA/PRIND, instabil angina och hjärtsvikt. Den totala mortaliteten visade en numerisk fördel för nitrendipin; i eprosartangruppen dog 57 av 681 patienter jämfört med 52 av 671 i nitrendipingruppen (riskkvot 1,07; 95 % CI 0,73 – 1,56, p=0,725). Dödlig och icke-dödlig hjärtinfarkt inträffade i 18 respektive 20 fall och stroke i 36 respektive 42 fall, det vill säga numeriskt till fördel för eprosartan. Vad gäller det primära effektmåttet så verkar effekten av eprosartan vara mer uttalad hos patienter som inte står på betablockare.</w:t>
      </w:r>
    </w:p>
    <w:p w14:paraId="5ED78B37" w14:textId="77777777" w:rsidR="00A67877" w:rsidRPr="0027385B" w:rsidRDefault="00A67877" w:rsidP="00A67877">
      <w:pPr>
        <w:widowControl/>
        <w:tabs>
          <w:tab w:val="clear" w:pos="567"/>
        </w:tabs>
        <w:rPr>
          <w:szCs w:val="24"/>
          <w:lang w:val="sv-SE"/>
        </w:rPr>
      </w:pPr>
    </w:p>
    <w:p w14:paraId="0E0498B2" w14:textId="77777777" w:rsidR="00A67877" w:rsidRPr="0027385B" w:rsidRDefault="00A67877" w:rsidP="00A67877">
      <w:pPr>
        <w:widowControl/>
        <w:tabs>
          <w:tab w:val="clear" w:pos="567"/>
        </w:tabs>
        <w:rPr>
          <w:szCs w:val="24"/>
          <w:lang w:val="sv-SE"/>
        </w:rPr>
      </w:pPr>
      <w:r w:rsidRPr="0027385B">
        <w:rPr>
          <w:szCs w:val="24"/>
          <w:lang w:val="sv-SE"/>
        </w:rPr>
        <w:t>Eprosartan påverkar inte mekanismen för renal autoregulation. Hos friska vuxna män har eprosartan visat sig öka det genomsnittliga renala plasmaflödet. Inga skadliga effekter på njurfunktionen har observerats hos patienter med essentiell hypertoni och patienter med njurinsufficiens. Eprosartan reducerar ej den glomerulära filtrationshastigheten hos friska män, hos patienter med hypertoni eller hos patienter med varierande grad av njurinsufficiens. Eprosartan har en natriuretisk effekt hos friska försökspersoner med saltreducerad kost. Eprosartan kan ges utan risk för natriumretention eller försämring av njurfunktionen till patienter med essentiell hypertoni och till patienter med varierande grad av njurinsufficiens.</w:t>
      </w:r>
    </w:p>
    <w:p w14:paraId="6162A4BA" w14:textId="77777777" w:rsidR="00A67877" w:rsidRPr="0027385B" w:rsidRDefault="00A67877" w:rsidP="00A67877">
      <w:pPr>
        <w:widowControl/>
        <w:tabs>
          <w:tab w:val="clear" w:pos="567"/>
        </w:tabs>
        <w:rPr>
          <w:szCs w:val="24"/>
          <w:lang w:val="sv-SE"/>
        </w:rPr>
      </w:pPr>
    </w:p>
    <w:p w14:paraId="20565907" w14:textId="77777777" w:rsidR="00A67877" w:rsidRPr="0027385B" w:rsidRDefault="00A67877" w:rsidP="00A67877">
      <w:pPr>
        <w:widowControl/>
        <w:tabs>
          <w:tab w:val="clear" w:pos="567"/>
        </w:tabs>
        <w:rPr>
          <w:szCs w:val="24"/>
          <w:lang w:val="sv-SE"/>
        </w:rPr>
      </w:pPr>
      <w:r w:rsidRPr="0027385B">
        <w:rPr>
          <w:szCs w:val="24"/>
          <w:lang w:val="sv-SE"/>
        </w:rPr>
        <w:t>Eprosartan påverkar ej nämnvärt utsöndringen av urinsyra i urinen.</w:t>
      </w:r>
    </w:p>
    <w:p w14:paraId="2BA212C6" w14:textId="77777777" w:rsidR="00A67877" w:rsidRPr="0027385B" w:rsidRDefault="00A67877" w:rsidP="00A67877">
      <w:pPr>
        <w:widowControl/>
        <w:tabs>
          <w:tab w:val="clear" w:pos="567"/>
        </w:tabs>
        <w:rPr>
          <w:szCs w:val="24"/>
          <w:lang w:val="sv-SE"/>
        </w:rPr>
      </w:pPr>
    </w:p>
    <w:p w14:paraId="03B6F65F" w14:textId="77777777" w:rsidR="00A67877" w:rsidRPr="0027385B" w:rsidRDefault="00A67877" w:rsidP="00A67877">
      <w:pPr>
        <w:widowControl/>
        <w:tabs>
          <w:tab w:val="clear" w:pos="567"/>
        </w:tabs>
        <w:rPr>
          <w:szCs w:val="24"/>
          <w:lang w:val="sv-SE"/>
        </w:rPr>
      </w:pPr>
      <w:r w:rsidRPr="0027385B">
        <w:rPr>
          <w:szCs w:val="24"/>
          <w:lang w:val="sv-SE"/>
        </w:rPr>
        <w:t xml:space="preserve">Eprosartan potentierar ej bradykininrelaterade effekter (ACE-medierade), t.ex. hosta. I en studie som var speciellt designad för att jämföra incidensen hosta hos patienter behandlade med eprosartan och en </w:t>
      </w:r>
      <w:r w:rsidRPr="0027385B">
        <w:rPr>
          <w:szCs w:val="24"/>
          <w:lang w:val="sv-SE"/>
        </w:rPr>
        <w:lastRenderedPageBreak/>
        <w:t>ACE-hämmare, var incidensen torr ihållande hosta hos patienter behandlade med eprosartan (1,5</w:t>
      </w:r>
      <w:r>
        <w:rPr>
          <w:szCs w:val="24"/>
          <w:lang w:val="sv-SE"/>
        </w:rPr>
        <w:t> </w:t>
      </w:r>
      <w:r w:rsidRPr="0027385B">
        <w:rPr>
          <w:szCs w:val="24"/>
          <w:lang w:val="sv-SE"/>
        </w:rPr>
        <w:t>%) signifikant lägre (p&lt;0,05) än hos de patienter som behandlades med en ACE-hämmare (5,4</w:t>
      </w:r>
      <w:r>
        <w:rPr>
          <w:szCs w:val="24"/>
          <w:lang w:val="sv-SE"/>
        </w:rPr>
        <w:t> </w:t>
      </w:r>
      <w:r w:rsidRPr="0027385B">
        <w:rPr>
          <w:szCs w:val="24"/>
          <w:lang w:val="sv-SE"/>
        </w:rPr>
        <w:t>%). I en annan studie där man undersökte incidensen av hosta hos patienter som tidigare hade haft hosta då de intog en ACE-hämmare, var incidensen torr ihållande hosta hos patienter behandlade med eprosartan 2,6</w:t>
      </w:r>
      <w:r>
        <w:rPr>
          <w:szCs w:val="24"/>
          <w:lang w:val="sv-SE"/>
        </w:rPr>
        <w:t> </w:t>
      </w:r>
      <w:r w:rsidRPr="0027385B">
        <w:rPr>
          <w:szCs w:val="24"/>
          <w:lang w:val="sv-SE"/>
        </w:rPr>
        <w:t>%, hos patienter behandlade med placebo 2,7</w:t>
      </w:r>
      <w:r>
        <w:rPr>
          <w:szCs w:val="24"/>
          <w:lang w:val="sv-SE"/>
        </w:rPr>
        <w:t> </w:t>
      </w:r>
      <w:r w:rsidRPr="0027385B">
        <w:rPr>
          <w:szCs w:val="24"/>
          <w:lang w:val="sv-SE"/>
        </w:rPr>
        <w:t>% och hos de patienter som behandlades med en ACE-hämmare 25</w:t>
      </w:r>
      <w:r>
        <w:rPr>
          <w:szCs w:val="24"/>
          <w:lang w:val="sv-SE"/>
        </w:rPr>
        <w:t> </w:t>
      </w:r>
      <w:r w:rsidRPr="0027385B">
        <w:rPr>
          <w:szCs w:val="24"/>
          <w:lang w:val="sv-SE"/>
        </w:rPr>
        <w:t xml:space="preserve">% (p&lt;0,01, eprosartan jämfört med ACE-hämmare). </w:t>
      </w:r>
    </w:p>
    <w:p w14:paraId="1D165615" w14:textId="77777777" w:rsidR="00A67877" w:rsidRPr="0027385B" w:rsidRDefault="00A67877" w:rsidP="00A67877">
      <w:pPr>
        <w:widowControl/>
        <w:tabs>
          <w:tab w:val="clear" w:pos="567"/>
        </w:tabs>
        <w:rPr>
          <w:szCs w:val="24"/>
          <w:lang w:val="sv-SE"/>
        </w:rPr>
      </w:pPr>
    </w:p>
    <w:p w14:paraId="7CF1269D" w14:textId="77777777" w:rsidR="00A67877" w:rsidRPr="0027385B" w:rsidRDefault="00A67877" w:rsidP="00A67877">
      <w:pPr>
        <w:widowControl/>
        <w:tabs>
          <w:tab w:val="clear" w:pos="567"/>
        </w:tabs>
        <w:rPr>
          <w:szCs w:val="24"/>
          <w:lang w:val="sv-SE"/>
        </w:rPr>
      </w:pPr>
      <w:r w:rsidRPr="0027385B">
        <w:rPr>
          <w:szCs w:val="24"/>
          <w:lang w:val="sv-SE"/>
        </w:rPr>
        <w:t>I tre kliniska studier (n=791) har eprosartan visat minst likvärdig blodtryckssänkande effekt som ACE-hämmaren enalapril. En av dessa studier, där patienter med svår hypertoni ingick, visade att eprosartan i jämförelse med enalapril gav statistiskt signifikant större sänkning av det systoliska blodtrycket i sittande och stående ställning.</w:t>
      </w:r>
    </w:p>
    <w:p w14:paraId="4A633DB6" w14:textId="77777777" w:rsidR="00A67877" w:rsidRPr="0027385B" w:rsidRDefault="00A67877" w:rsidP="00A67877">
      <w:pPr>
        <w:widowControl/>
        <w:tabs>
          <w:tab w:val="clear" w:pos="567"/>
        </w:tabs>
        <w:rPr>
          <w:szCs w:val="24"/>
          <w:lang w:val="sv-SE"/>
        </w:rPr>
      </w:pPr>
    </w:p>
    <w:p w14:paraId="5C433F84" w14:textId="77777777" w:rsidR="00A67877" w:rsidRPr="0027385B" w:rsidRDefault="00A67877" w:rsidP="00A67877">
      <w:pPr>
        <w:widowControl/>
        <w:tabs>
          <w:tab w:val="clear" w:pos="567"/>
        </w:tabs>
        <w:autoSpaceDE w:val="0"/>
        <w:autoSpaceDN w:val="0"/>
        <w:adjustRightInd w:val="0"/>
        <w:jc w:val="both"/>
        <w:rPr>
          <w:szCs w:val="24"/>
          <w:lang w:val="sv-SE"/>
        </w:rPr>
      </w:pPr>
      <w:r w:rsidRPr="0027385B">
        <w:rPr>
          <w:szCs w:val="24"/>
          <w:lang w:val="sv-SE"/>
        </w:rPr>
        <w:t xml:space="preserve">Två stora randomiserade, kontrollerade prövningar (ONTARGET (ONgoing Telmisartan Alone and in combination with Ramipril Global Endpoint Trial) och VA NEPHRON-D (The Veterans Affairs Nephropathy in Diabetes)) har undersökt den kombinerade användningen av en ACE-hämmare och en angiotensin II-receptorblockerare. </w:t>
      </w:r>
    </w:p>
    <w:p w14:paraId="1AE880F9" w14:textId="77777777" w:rsidR="00A67877" w:rsidRPr="0027385B" w:rsidRDefault="00A67877" w:rsidP="00A67877">
      <w:pPr>
        <w:widowControl/>
        <w:tabs>
          <w:tab w:val="clear" w:pos="567"/>
        </w:tabs>
        <w:autoSpaceDE w:val="0"/>
        <w:autoSpaceDN w:val="0"/>
        <w:adjustRightInd w:val="0"/>
        <w:jc w:val="both"/>
        <w:rPr>
          <w:szCs w:val="24"/>
          <w:lang w:val="sv-SE"/>
        </w:rPr>
      </w:pPr>
      <w:r w:rsidRPr="0027385B">
        <w:rPr>
          <w:szCs w:val="24"/>
          <w:lang w:val="sv-SE"/>
        </w:rPr>
        <w:t xml:space="preserve">ONTARGET var en studie som genomfördes på patienter med en anamnes av kardiovaskulär och cerebrovaskulär sjukdom, eller typ 2-diabetes mellitus åtföljt av evidens för slutorganskada. VA NEPHRON-D var en studie på patienter med typ 2-diabetes mellitus och diabetesnefropati. </w:t>
      </w:r>
    </w:p>
    <w:p w14:paraId="64A89803" w14:textId="77777777" w:rsidR="00A67877" w:rsidRPr="0027385B" w:rsidRDefault="00A67877" w:rsidP="00A67877">
      <w:pPr>
        <w:widowControl/>
        <w:tabs>
          <w:tab w:val="clear" w:pos="567"/>
        </w:tabs>
        <w:autoSpaceDE w:val="0"/>
        <w:autoSpaceDN w:val="0"/>
        <w:adjustRightInd w:val="0"/>
        <w:jc w:val="both"/>
        <w:rPr>
          <w:szCs w:val="24"/>
          <w:lang w:val="sv-SE"/>
        </w:rPr>
      </w:pPr>
      <w:r w:rsidRPr="0027385B">
        <w:rPr>
          <w:szCs w:val="24"/>
          <w:lang w:val="sv-SE"/>
        </w:rPr>
        <w:t xml:space="preserve">Dessa studier har inte visat någon signifikant nytta på renala och/eller kardiovaskulära resultat och mortalitet, medan en ökad risk för hyperkalemi, akut njurskada och/eller hypotoni observerades jämfört med monoterapi. Då deras farmakodynamiska egenskaper liknar varandra är dessa resultat även relevanta för andra ACE-hämmare och angiotensin II-receptorblockerare. </w:t>
      </w:r>
    </w:p>
    <w:p w14:paraId="32DC96D6" w14:textId="77777777" w:rsidR="00A67877" w:rsidRPr="0027385B" w:rsidRDefault="00A67877" w:rsidP="00A67877">
      <w:pPr>
        <w:widowControl/>
        <w:tabs>
          <w:tab w:val="clear" w:pos="567"/>
        </w:tabs>
        <w:autoSpaceDE w:val="0"/>
        <w:autoSpaceDN w:val="0"/>
        <w:adjustRightInd w:val="0"/>
        <w:jc w:val="both"/>
        <w:rPr>
          <w:szCs w:val="24"/>
          <w:lang w:val="sv-SE"/>
        </w:rPr>
      </w:pPr>
      <w:r w:rsidRPr="0027385B">
        <w:rPr>
          <w:szCs w:val="24"/>
          <w:lang w:val="sv-SE"/>
        </w:rPr>
        <w:t xml:space="preserve">ACE-hämmare och angiotensin II-receptorblockerare bör därför inte användas samtidigt hos patienter med diabetesnefropati. </w:t>
      </w:r>
    </w:p>
    <w:p w14:paraId="53937139" w14:textId="77777777" w:rsidR="00A67877" w:rsidRPr="0027385B" w:rsidRDefault="00A67877" w:rsidP="00A67877">
      <w:pPr>
        <w:widowControl/>
        <w:tabs>
          <w:tab w:val="clear" w:pos="567"/>
        </w:tabs>
        <w:rPr>
          <w:szCs w:val="24"/>
          <w:lang w:val="sv-SE"/>
        </w:rPr>
      </w:pPr>
      <w:r w:rsidRPr="0027385B">
        <w:rPr>
          <w:szCs w:val="24"/>
          <w:lang w:val="sv-SE"/>
        </w:rPr>
        <w:t>ALTITUDE (Aliskiren Trial in Type 2 Diabetes Using Cardiovascular and Renal Disease Endpoints) var en studie med syfte att testa nyttan av att lägga till aliskiren till en standardbehandling med en ACE-hämmare eller en angiotensin II-receptorblockerare hos patienter med typ 2-diabetes mellitus och kronisk njursjukdom, kardiovaskulär sjukdom eller både och. Studien avslutades i förtid eftersom det fanns en ökad risk för</w:t>
      </w:r>
      <w:r>
        <w:rPr>
          <w:szCs w:val="24"/>
          <w:lang w:val="sv-SE"/>
        </w:rPr>
        <w:t xml:space="preserve"> </w:t>
      </w:r>
      <w:r>
        <w:rPr>
          <w:lang w:val="sv-SE"/>
        </w:rPr>
        <w:t>biverkningar</w:t>
      </w:r>
      <w:r w:rsidRPr="0027385B">
        <w:rPr>
          <w:szCs w:val="24"/>
          <w:lang w:val="sv-SE"/>
        </w:rPr>
        <w:t xml:space="preserve">. Både kardiovaskulär död och stroke var numerärt vanligare i aliskiren-gruppen än i placebo-gruppen och </w:t>
      </w:r>
      <w:r>
        <w:rPr>
          <w:lang w:val="sv-SE"/>
        </w:rPr>
        <w:t xml:space="preserve">biverkningar </w:t>
      </w:r>
      <w:r w:rsidRPr="0027385B">
        <w:rPr>
          <w:szCs w:val="24"/>
          <w:lang w:val="sv-SE"/>
        </w:rPr>
        <w:t xml:space="preserve">och allvarliga </w:t>
      </w:r>
      <w:r>
        <w:rPr>
          <w:lang w:val="sv-SE"/>
        </w:rPr>
        <w:t xml:space="preserve">biverkningar </w:t>
      </w:r>
      <w:r w:rsidRPr="0027385B">
        <w:rPr>
          <w:szCs w:val="24"/>
          <w:lang w:val="sv-SE"/>
        </w:rPr>
        <w:t>av intresse (hyperkalemi, hypotoni och njurdysfunktion) rapporterades med högre frekvens i aliskiren-gruppen än i placebo-gruppen.</w:t>
      </w:r>
    </w:p>
    <w:p w14:paraId="5A6B7D9C" w14:textId="77777777" w:rsidR="00A67877" w:rsidRPr="0027385B" w:rsidRDefault="00A67877" w:rsidP="00A67877">
      <w:pPr>
        <w:widowControl/>
        <w:tabs>
          <w:tab w:val="clear" w:pos="567"/>
        </w:tabs>
        <w:rPr>
          <w:szCs w:val="24"/>
          <w:lang w:val="sv-SE"/>
        </w:rPr>
      </w:pPr>
    </w:p>
    <w:p w14:paraId="68BEA4B5"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Farmakokinetiska uppgifter</w:t>
      </w:r>
    </w:p>
    <w:p w14:paraId="74C1A831" w14:textId="77777777" w:rsidR="00A67877" w:rsidRPr="0027385B" w:rsidRDefault="00A67877" w:rsidP="00A67877">
      <w:pPr>
        <w:widowControl/>
        <w:tabs>
          <w:tab w:val="clear" w:pos="567"/>
        </w:tabs>
        <w:rPr>
          <w:szCs w:val="24"/>
          <w:lang w:val="sv-SE"/>
        </w:rPr>
      </w:pPr>
    </w:p>
    <w:p w14:paraId="445E43FB" w14:textId="77777777" w:rsidR="00A67877" w:rsidRPr="0027385B" w:rsidRDefault="00A67877" w:rsidP="00A67877">
      <w:pPr>
        <w:widowControl/>
        <w:tabs>
          <w:tab w:val="clear" w:pos="567"/>
        </w:tabs>
        <w:rPr>
          <w:szCs w:val="24"/>
          <w:lang w:val="sv-SE"/>
        </w:rPr>
      </w:pPr>
      <w:r w:rsidRPr="0027385B">
        <w:rPr>
          <w:szCs w:val="24"/>
          <w:lang w:val="sv-SE"/>
        </w:rPr>
        <w:t>Den absoluta biotillgängligheten efter en oral engångsdos av 300 mg eprosartan är cirka 13</w:t>
      </w:r>
      <w:r>
        <w:rPr>
          <w:szCs w:val="24"/>
          <w:lang w:val="sv-SE"/>
        </w:rPr>
        <w:t> </w:t>
      </w:r>
      <w:r w:rsidRPr="0027385B">
        <w:rPr>
          <w:szCs w:val="24"/>
          <w:lang w:val="sv-SE"/>
        </w:rPr>
        <w:t xml:space="preserve">%, beroende på begränsad absorption. Maximal plasmakoncentration uppnås efter </w:t>
      </w:r>
      <w:r w:rsidR="005456B5" w:rsidRPr="0027385B">
        <w:rPr>
          <w:szCs w:val="24"/>
          <w:lang w:val="sv-SE"/>
        </w:rPr>
        <w:t>1–2</w:t>
      </w:r>
      <w:r w:rsidRPr="0027385B">
        <w:rPr>
          <w:szCs w:val="24"/>
          <w:lang w:val="sv-SE"/>
        </w:rPr>
        <w:t xml:space="preserve"> timmar efter en oral dos, intagen fastande. Plasmakoncentrationen ökar proportionellt mot dosen från 100 mg till 200 mg, men för doserna 400 mg och 800 mg ökar plasmakoncentrationen mindre än proportionellt mot dos. Den terminala halveringstiden för elimination av eprosartan efter oral administrering är vanligen </w:t>
      </w:r>
      <w:r w:rsidR="005456B5" w:rsidRPr="0027385B">
        <w:rPr>
          <w:szCs w:val="24"/>
          <w:lang w:val="sv-SE"/>
        </w:rPr>
        <w:t>5–9</w:t>
      </w:r>
      <w:r w:rsidRPr="0027385B">
        <w:rPr>
          <w:szCs w:val="24"/>
          <w:lang w:val="sv-SE"/>
        </w:rPr>
        <w:t xml:space="preserve"> timmar. Eprosartan ackumuleras inte i någon högre grad vid långtidsanvändning. Föda fördröjer absorptionen av eprosartan något med små förändringar i C</w:t>
      </w:r>
      <w:r w:rsidRPr="0027385B">
        <w:rPr>
          <w:szCs w:val="24"/>
          <w:vertAlign w:val="subscript"/>
          <w:lang w:val="sv-SE"/>
        </w:rPr>
        <w:t>max</w:t>
      </w:r>
      <w:r w:rsidRPr="0027385B">
        <w:rPr>
          <w:szCs w:val="24"/>
          <w:lang w:val="sv-SE"/>
        </w:rPr>
        <w:t xml:space="preserve"> och AUC (&lt;25</w:t>
      </w:r>
      <w:r>
        <w:rPr>
          <w:szCs w:val="24"/>
          <w:lang w:val="sv-SE"/>
        </w:rPr>
        <w:t> </w:t>
      </w:r>
      <w:r w:rsidRPr="0027385B">
        <w:rPr>
          <w:szCs w:val="24"/>
          <w:lang w:val="sv-SE"/>
        </w:rPr>
        <w:t xml:space="preserve">%), som dock ej är av klinisk betydelse. </w:t>
      </w:r>
    </w:p>
    <w:p w14:paraId="6F62C87A" w14:textId="77777777" w:rsidR="00A67877" w:rsidRPr="0027385B" w:rsidRDefault="00A67877" w:rsidP="00A67877">
      <w:pPr>
        <w:widowControl/>
        <w:tabs>
          <w:tab w:val="clear" w:pos="567"/>
        </w:tabs>
        <w:rPr>
          <w:szCs w:val="24"/>
          <w:lang w:val="sv-SE"/>
        </w:rPr>
      </w:pPr>
    </w:p>
    <w:p w14:paraId="3BB1D76C" w14:textId="77777777" w:rsidR="00A67877" w:rsidRPr="0027385B" w:rsidRDefault="00A67877" w:rsidP="00A67877">
      <w:pPr>
        <w:widowControl/>
        <w:tabs>
          <w:tab w:val="clear" w:pos="567"/>
        </w:tabs>
        <w:rPr>
          <w:szCs w:val="24"/>
          <w:lang w:val="sv-SE"/>
        </w:rPr>
      </w:pPr>
      <w:r w:rsidRPr="0027385B">
        <w:rPr>
          <w:szCs w:val="24"/>
          <w:lang w:val="sv-SE"/>
        </w:rPr>
        <w:t>Graden av plasmaproteinbindning är hög (cirka 98</w:t>
      </w:r>
      <w:r>
        <w:rPr>
          <w:szCs w:val="24"/>
          <w:lang w:val="sv-SE"/>
        </w:rPr>
        <w:t> </w:t>
      </w:r>
      <w:r w:rsidRPr="0027385B">
        <w:rPr>
          <w:szCs w:val="24"/>
          <w:lang w:val="sv-SE"/>
        </w:rPr>
        <w:t>%) och är konstant i det koncentrationsområde som erhålles vid terapeutiska doser. Plasmaproteinbindningsgraden påverkas ej av kön, ålder, försämrad leverfunktion eller lätt till måttlig nedsatt njurfunktion. Den har dock visat sig vara minskad hos ett litet antal patienter med allvarligt nedsatt njurfunktion.</w:t>
      </w:r>
    </w:p>
    <w:p w14:paraId="30A221AD" w14:textId="77777777" w:rsidR="00A67877" w:rsidRPr="0027385B" w:rsidRDefault="00A67877" w:rsidP="00A67877">
      <w:pPr>
        <w:widowControl/>
        <w:tabs>
          <w:tab w:val="clear" w:pos="567"/>
        </w:tabs>
        <w:rPr>
          <w:szCs w:val="24"/>
          <w:lang w:val="sv-SE"/>
        </w:rPr>
      </w:pPr>
    </w:p>
    <w:p w14:paraId="56F2C2B6" w14:textId="77777777" w:rsidR="00A67877" w:rsidRPr="0027385B" w:rsidRDefault="00A67877" w:rsidP="00A67877">
      <w:pPr>
        <w:widowControl/>
        <w:tabs>
          <w:tab w:val="clear" w:pos="567"/>
        </w:tabs>
        <w:rPr>
          <w:szCs w:val="24"/>
          <w:lang w:val="sv-SE"/>
        </w:rPr>
      </w:pPr>
      <w:r w:rsidRPr="0027385B">
        <w:rPr>
          <w:szCs w:val="24"/>
          <w:lang w:val="sv-SE"/>
        </w:rPr>
        <w:t>Efter intravenös administrering av [</w:t>
      </w:r>
      <w:r w:rsidRPr="0027385B">
        <w:rPr>
          <w:szCs w:val="24"/>
          <w:vertAlign w:val="superscript"/>
          <w:lang w:val="sv-SE"/>
        </w:rPr>
        <w:t>14</w:t>
      </w:r>
      <w:r w:rsidRPr="0027385B">
        <w:rPr>
          <w:szCs w:val="24"/>
          <w:lang w:val="sv-SE"/>
        </w:rPr>
        <w:t>C]eprosartan återfanns 61% av radioaktiviteten i feces och 37</w:t>
      </w:r>
      <w:r>
        <w:rPr>
          <w:szCs w:val="24"/>
          <w:lang w:val="sv-SE"/>
        </w:rPr>
        <w:t> </w:t>
      </w:r>
      <w:r w:rsidRPr="0027385B">
        <w:rPr>
          <w:szCs w:val="24"/>
          <w:lang w:val="sv-SE"/>
        </w:rPr>
        <w:t>% i urinen. Efter oral en dos av [</w:t>
      </w:r>
      <w:r w:rsidRPr="0027385B">
        <w:rPr>
          <w:szCs w:val="24"/>
          <w:vertAlign w:val="superscript"/>
          <w:lang w:val="sv-SE"/>
        </w:rPr>
        <w:t>14</w:t>
      </w:r>
      <w:r w:rsidRPr="0027385B">
        <w:rPr>
          <w:szCs w:val="24"/>
          <w:lang w:val="sv-SE"/>
        </w:rPr>
        <w:t>C]eprosartan återfanns 90</w:t>
      </w:r>
      <w:r>
        <w:rPr>
          <w:szCs w:val="24"/>
          <w:lang w:val="sv-SE"/>
        </w:rPr>
        <w:t> </w:t>
      </w:r>
      <w:r w:rsidRPr="0027385B">
        <w:rPr>
          <w:szCs w:val="24"/>
          <w:lang w:val="sv-SE"/>
        </w:rPr>
        <w:t>% av radioaktiviteten i feces och 7</w:t>
      </w:r>
      <w:r>
        <w:rPr>
          <w:szCs w:val="24"/>
          <w:lang w:val="sv-SE"/>
        </w:rPr>
        <w:t> </w:t>
      </w:r>
      <w:r w:rsidRPr="0027385B">
        <w:rPr>
          <w:szCs w:val="24"/>
          <w:lang w:val="sv-SE"/>
        </w:rPr>
        <w:t>% i urinen.</w:t>
      </w:r>
    </w:p>
    <w:p w14:paraId="3A24AA4B" w14:textId="77777777" w:rsidR="00A67877" w:rsidRPr="0027385B" w:rsidRDefault="00A67877" w:rsidP="00A67877">
      <w:pPr>
        <w:widowControl/>
        <w:tabs>
          <w:tab w:val="clear" w:pos="567"/>
        </w:tabs>
        <w:rPr>
          <w:szCs w:val="24"/>
          <w:lang w:val="sv-SE"/>
        </w:rPr>
      </w:pPr>
    </w:p>
    <w:p w14:paraId="2BA5C17C" w14:textId="77777777" w:rsidR="00A67877" w:rsidRPr="0027385B" w:rsidRDefault="00A67877" w:rsidP="00A67877">
      <w:pPr>
        <w:widowControl/>
        <w:tabs>
          <w:tab w:val="clear" w:pos="567"/>
        </w:tabs>
        <w:rPr>
          <w:szCs w:val="24"/>
          <w:lang w:val="sv-SE"/>
        </w:rPr>
      </w:pPr>
      <w:r w:rsidRPr="0027385B">
        <w:rPr>
          <w:szCs w:val="24"/>
          <w:lang w:val="sv-SE"/>
        </w:rPr>
        <w:t>Efter oral och intravenös administrering av [</w:t>
      </w:r>
      <w:r w:rsidRPr="0027385B">
        <w:rPr>
          <w:szCs w:val="24"/>
          <w:vertAlign w:val="superscript"/>
          <w:lang w:val="sv-SE"/>
        </w:rPr>
        <w:t>14</w:t>
      </w:r>
      <w:r w:rsidRPr="0027385B">
        <w:rPr>
          <w:szCs w:val="24"/>
          <w:lang w:val="sv-SE"/>
        </w:rPr>
        <w:t>C]eprosartan hos människa återfanns endast eprosartan i plasma och feces. I urinen utsöndras 20</w:t>
      </w:r>
      <w:r>
        <w:rPr>
          <w:szCs w:val="24"/>
          <w:lang w:val="sv-SE"/>
        </w:rPr>
        <w:t> </w:t>
      </w:r>
      <w:r w:rsidRPr="0027385B">
        <w:rPr>
          <w:szCs w:val="24"/>
          <w:lang w:val="sv-SE"/>
        </w:rPr>
        <w:t>% av radioaktiviteten som acylglukuronid av eprosartan och de återstående 80</w:t>
      </w:r>
      <w:r>
        <w:rPr>
          <w:szCs w:val="24"/>
          <w:lang w:val="sv-SE"/>
        </w:rPr>
        <w:t> </w:t>
      </w:r>
      <w:r w:rsidRPr="0027385B">
        <w:rPr>
          <w:szCs w:val="24"/>
          <w:lang w:val="sv-SE"/>
        </w:rPr>
        <w:t>% som oförändrat eprosartan.</w:t>
      </w:r>
    </w:p>
    <w:p w14:paraId="10FC7B68" w14:textId="77777777" w:rsidR="00A67877" w:rsidRPr="0027385B" w:rsidRDefault="00A67877" w:rsidP="00A67877">
      <w:pPr>
        <w:widowControl/>
        <w:tabs>
          <w:tab w:val="clear" w:pos="567"/>
        </w:tabs>
        <w:rPr>
          <w:szCs w:val="24"/>
          <w:lang w:val="sv-SE"/>
        </w:rPr>
      </w:pPr>
    </w:p>
    <w:p w14:paraId="4116F197" w14:textId="77777777" w:rsidR="00A67877" w:rsidRPr="0027385B" w:rsidRDefault="00A67877" w:rsidP="00A67877">
      <w:pPr>
        <w:widowControl/>
        <w:tabs>
          <w:tab w:val="clear" w:pos="567"/>
        </w:tabs>
        <w:rPr>
          <w:szCs w:val="24"/>
          <w:lang w:val="sv-SE"/>
        </w:rPr>
      </w:pPr>
      <w:r w:rsidRPr="0027385B">
        <w:rPr>
          <w:szCs w:val="24"/>
          <w:lang w:val="sv-SE"/>
        </w:rPr>
        <w:lastRenderedPageBreak/>
        <w:t xml:space="preserve">Distributionsvolymen är cirka </w:t>
      </w:r>
      <w:smartTag w:uri="urn:schemas-microsoft-com:office:smarttags" w:element="country-region">
        <w:smartTagPr>
          <w:attr w:name="ProductID" w:val="13 liter"/>
        </w:smartTagPr>
        <w:r w:rsidRPr="0027385B">
          <w:rPr>
            <w:szCs w:val="24"/>
            <w:lang w:val="sv-SE"/>
          </w:rPr>
          <w:t>13 liter</w:t>
        </w:r>
      </w:smartTag>
      <w:r w:rsidRPr="0027385B">
        <w:rPr>
          <w:szCs w:val="24"/>
          <w:lang w:val="sv-SE"/>
        </w:rPr>
        <w:t>. Total plasmaclearance är cirka 130 ml/min. Elimination av eprosartan sker genom utsöndring via gallan och njurarna.</w:t>
      </w:r>
    </w:p>
    <w:p w14:paraId="283EF929" w14:textId="77777777" w:rsidR="00A67877" w:rsidRPr="0027385B" w:rsidRDefault="00A67877" w:rsidP="00A67877">
      <w:pPr>
        <w:widowControl/>
        <w:tabs>
          <w:tab w:val="clear" w:pos="567"/>
        </w:tabs>
        <w:rPr>
          <w:szCs w:val="24"/>
          <w:lang w:val="sv-SE"/>
        </w:rPr>
      </w:pPr>
    </w:p>
    <w:p w14:paraId="12E9626E" w14:textId="77777777" w:rsidR="00A67877" w:rsidRPr="0027385B" w:rsidRDefault="00A67877" w:rsidP="00A67877">
      <w:pPr>
        <w:widowControl/>
        <w:tabs>
          <w:tab w:val="clear" w:pos="567"/>
        </w:tabs>
        <w:rPr>
          <w:szCs w:val="24"/>
          <w:lang w:val="sv-SE"/>
        </w:rPr>
      </w:pPr>
      <w:r w:rsidRPr="0027385B">
        <w:rPr>
          <w:szCs w:val="24"/>
          <w:lang w:val="sv-SE"/>
        </w:rPr>
        <w:t>Både AUC och C</w:t>
      </w:r>
      <w:r w:rsidRPr="0027385B">
        <w:rPr>
          <w:szCs w:val="24"/>
          <w:vertAlign w:val="subscript"/>
          <w:lang w:val="sv-SE"/>
        </w:rPr>
        <w:t>max</w:t>
      </w:r>
      <w:r w:rsidRPr="0027385B">
        <w:rPr>
          <w:szCs w:val="24"/>
          <w:lang w:val="sv-SE"/>
        </w:rPr>
        <w:t xml:space="preserve"> är förhöjda hos äldre (i genomsnitt en fördubbling) men dosjustering erfordras ej.</w:t>
      </w:r>
    </w:p>
    <w:p w14:paraId="1E71C2D8" w14:textId="77777777" w:rsidR="00A67877" w:rsidRPr="0027385B" w:rsidRDefault="00A67877" w:rsidP="00A67877">
      <w:pPr>
        <w:widowControl/>
        <w:tabs>
          <w:tab w:val="clear" w:pos="567"/>
        </w:tabs>
        <w:rPr>
          <w:i/>
          <w:szCs w:val="24"/>
          <w:lang w:val="sv-SE"/>
        </w:rPr>
      </w:pPr>
    </w:p>
    <w:p w14:paraId="0D4CAABE" w14:textId="77777777" w:rsidR="00A67877" w:rsidRPr="0027385B" w:rsidRDefault="00A67877" w:rsidP="00A67877">
      <w:pPr>
        <w:widowControl/>
        <w:tabs>
          <w:tab w:val="clear" w:pos="567"/>
        </w:tabs>
        <w:rPr>
          <w:szCs w:val="24"/>
          <w:lang w:val="sv-SE"/>
        </w:rPr>
      </w:pPr>
      <w:r w:rsidRPr="0027385B">
        <w:rPr>
          <w:szCs w:val="24"/>
          <w:lang w:val="sv-SE"/>
        </w:rPr>
        <w:t>Efter en engångsdos på 100 mg av eprosartan ökar AUC (men ej C</w:t>
      </w:r>
      <w:r w:rsidRPr="0027385B">
        <w:rPr>
          <w:szCs w:val="24"/>
          <w:vertAlign w:val="subscript"/>
          <w:lang w:val="sv-SE"/>
        </w:rPr>
        <w:t>max</w:t>
      </w:r>
      <w:r w:rsidRPr="0027385B">
        <w:rPr>
          <w:szCs w:val="24"/>
          <w:lang w:val="sv-SE"/>
        </w:rPr>
        <w:t>) med i genomsnitt 40</w:t>
      </w:r>
      <w:r>
        <w:rPr>
          <w:szCs w:val="24"/>
          <w:lang w:val="sv-SE"/>
        </w:rPr>
        <w:t> </w:t>
      </w:r>
      <w:r w:rsidRPr="0027385B">
        <w:rPr>
          <w:szCs w:val="24"/>
          <w:lang w:val="sv-SE"/>
        </w:rPr>
        <w:t>% hos patienter med nedsatt leverfunktion.</w:t>
      </w:r>
    </w:p>
    <w:p w14:paraId="513EFF6F" w14:textId="77777777" w:rsidR="00A67877" w:rsidRPr="0027385B" w:rsidRDefault="00A67877" w:rsidP="00A67877">
      <w:pPr>
        <w:widowControl/>
        <w:tabs>
          <w:tab w:val="clear" w:pos="567"/>
        </w:tabs>
        <w:rPr>
          <w:szCs w:val="24"/>
          <w:lang w:val="sv-SE"/>
        </w:rPr>
      </w:pPr>
    </w:p>
    <w:p w14:paraId="78DA18F1" w14:textId="77777777" w:rsidR="00A67877" w:rsidRPr="0027385B" w:rsidRDefault="00A67877" w:rsidP="00A67877">
      <w:pPr>
        <w:widowControl/>
        <w:tabs>
          <w:tab w:val="clear" w:pos="567"/>
        </w:tabs>
        <w:rPr>
          <w:szCs w:val="24"/>
          <w:lang w:val="sv-SE"/>
        </w:rPr>
      </w:pPr>
      <w:r w:rsidRPr="0027385B">
        <w:rPr>
          <w:szCs w:val="24"/>
          <w:lang w:val="sv-SE"/>
        </w:rPr>
        <w:t xml:space="preserve">Jämfört med </w:t>
      </w:r>
      <w:r w:rsidRPr="00AF01D5">
        <w:rPr>
          <w:szCs w:val="24"/>
          <w:lang w:val="sv-SE"/>
        </w:rPr>
        <w:t>försökspersoner</w:t>
      </w:r>
      <w:r w:rsidRPr="00AF01D5" w:rsidDel="00AF01D5">
        <w:rPr>
          <w:szCs w:val="24"/>
          <w:lang w:val="sv-SE"/>
        </w:rPr>
        <w:t xml:space="preserve"> </w:t>
      </w:r>
      <w:r w:rsidRPr="0027385B">
        <w:rPr>
          <w:szCs w:val="24"/>
          <w:lang w:val="sv-SE"/>
        </w:rPr>
        <w:t>med normal njurfunktion är genomsnittlig AUC och C</w:t>
      </w:r>
      <w:r w:rsidRPr="0027385B">
        <w:rPr>
          <w:szCs w:val="24"/>
          <w:vertAlign w:val="subscript"/>
          <w:lang w:val="sv-SE"/>
        </w:rPr>
        <w:t>max</w:t>
      </w:r>
      <w:r w:rsidRPr="0027385B">
        <w:rPr>
          <w:szCs w:val="24"/>
          <w:lang w:val="sv-SE"/>
        </w:rPr>
        <w:t xml:space="preserve"> cirka 30</w:t>
      </w:r>
      <w:r>
        <w:rPr>
          <w:szCs w:val="24"/>
          <w:lang w:val="sv-SE"/>
        </w:rPr>
        <w:t> </w:t>
      </w:r>
      <w:r w:rsidRPr="0027385B">
        <w:rPr>
          <w:szCs w:val="24"/>
          <w:lang w:val="sv-SE"/>
        </w:rPr>
        <w:t xml:space="preserve">% högre hos patienter med måttligt nedsatt njurfunktion (kreatininclearance </w:t>
      </w:r>
      <w:r w:rsidR="005456B5" w:rsidRPr="0027385B">
        <w:rPr>
          <w:szCs w:val="24"/>
          <w:lang w:val="sv-SE"/>
        </w:rPr>
        <w:t>30–59</w:t>
      </w:r>
      <w:r w:rsidRPr="0027385B">
        <w:rPr>
          <w:szCs w:val="24"/>
          <w:lang w:val="sv-SE"/>
        </w:rPr>
        <w:t xml:space="preserve"> ml/min), cirka 50</w:t>
      </w:r>
      <w:r>
        <w:rPr>
          <w:szCs w:val="24"/>
          <w:lang w:val="sv-SE"/>
        </w:rPr>
        <w:t> </w:t>
      </w:r>
      <w:r w:rsidRPr="0027385B">
        <w:rPr>
          <w:szCs w:val="24"/>
          <w:lang w:val="sv-SE"/>
        </w:rPr>
        <w:t xml:space="preserve">% högre studerat hos ett litet antal patienter med gravt nedsatt njurfunktion (kreatininclearance </w:t>
      </w:r>
      <w:r w:rsidR="005456B5">
        <w:rPr>
          <w:szCs w:val="24"/>
          <w:lang w:val="sv-SE"/>
        </w:rPr>
        <w:br/>
      </w:r>
      <w:r w:rsidRPr="0027385B">
        <w:rPr>
          <w:szCs w:val="24"/>
          <w:lang w:val="sv-SE"/>
        </w:rPr>
        <w:t>5-29 ml/min) och cirka 60</w:t>
      </w:r>
      <w:r>
        <w:rPr>
          <w:szCs w:val="24"/>
          <w:lang w:val="sv-SE"/>
        </w:rPr>
        <w:t> </w:t>
      </w:r>
      <w:r w:rsidRPr="0027385B">
        <w:rPr>
          <w:szCs w:val="24"/>
          <w:lang w:val="sv-SE"/>
        </w:rPr>
        <w:t xml:space="preserve">% högre hos dialyspatienter. </w:t>
      </w:r>
    </w:p>
    <w:p w14:paraId="61FBCAA9" w14:textId="77777777" w:rsidR="00A67877" w:rsidRPr="0027385B" w:rsidRDefault="00A67877" w:rsidP="00A67877">
      <w:pPr>
        <w:widowControl/>
        <w:tabs>
          <w:tab w:val="clear" w:pos="567"/>
        </w:tabs>
        <w:rPr>
          <w:szCs w:val="24"/>
          <w:lang w:val="sv-SE"/>
        </w:rPr>
      </w:pPr>
    </w:p>
    <w:p w14:paraId="139AB201" w14:textId="77777777" w:rsidR="00A67877" w:rsidRPr="0027385B" w:rsidRDefault="00A67877" w:rsidP="00A67877">
      <w:pPr>
        <w:widowControl/>
        <w:tabs>
          <w:tab w:val="clear" w:pos="567"/>
        </w:tabs>
        <w:rPr>
          <w:szCs w:val="24"/>
          <w:lang w:val="sv-SE"/>
        </w:rPr>
      </w:pPr>
      <w:r w:rsidRPr="0027385B">
        <w:rPr>
          <w:szCs w:val="24"/>
          <w:lang w:val="sv-SE"/>
        </w:rPr>
        <w:t>Det föreligger ingen skillnad i farmakokinetiken av eprosartan mellan män och kvinnor.</w:t>
      </w:r>
    </w:p>
    <w:p w14:paraId="30AB8676" w14:textId="77777777" w:rsidR="00A67877" w:rsidRPr="0027385B" w:rsidRDefault="00A67877" w:rsidP="00A67877">
      <w:pPr>
        <w:widowControl/>
        <w:tabs>
          <w:tab w:val="clear" w:pos="567"/>
        </w:tabs>
        <w:rPr>
          <w:szCs w:val="24"/>
          <w:lang w:val="sv-SE"/>
        </w:rPr>
      </w:pPr>
    </w:p>
    <w:p w14:paraId="3F523C40" w14:textId="77777777" w:rsidR="00A67877" w:rsidRPr="0027385B" w:rsidRDefault="00A67877" w:rsidP="00A67877">
      <w:pPr>
        <w:keepNext/>
        <w:widowControl/>
        <w:numPr>
          <w:ilvl w:val="1"/>
          <w:numId w:val="9"/>
        </w:numPr>
        <w:outlineLvl w:val="1"/>
        <w:rPr>
          <w:b/>
          <w:lang w:val="sv-SE"/>
        </w:rPr>
      </w:pPr>
      <w:r w:rsidRPr="0027385B">
        <w:rPr>
          <w:b/>
          <w:lang w:val="sv-SE"/>
        </w:rPr>
        <w:t>Prekliniska säkerhetsuppgifter</w:t>
      </w:r>
    </w:p>
    <w:p w14:paraId="50DE45DB" w14:textId="77777777" w:rsidR="00A67877" w:rsidRPr="0027385B" w:rsidRDefault="00A67877" w:rsidP="00A67877">
      <w:pPr>
        <w:widowControl/>
        <w:tabs>
          <w:tab w:val="clear" w:pos="567"/>
        </w:tabs>
        <w:rPr>
          <w:i/>
          <w:szCs w:val="24"/>
          <w:lang w:val="sv-SE"/>
        </w:rPr>
      </w:pPr>
    </w:p>
    <w:p w14:paraId="7A2ABDE5" w14:textId="77777777" w:rsidR="00A67877" w:rsidRPr="00ED54E5" w:rsidRDefault="00A67877" w:rsidP="00A67877">
      <w:pPr>
        <w:widowControl/>
        <w:tabs>
          <w:tab w:val="clear" w:pos="567"/>
        </w:tabs>
        <w:rPr>
          <w:i/>
          <w:iCs/>
          <w:szCs w:val="24"/>
          <w:lang w:val="sv-SE"/>
        </w:rPr>
      </w:pPr>
      <w:r w:rsidRPr="00ED54E5">
        <w:rPr>
          <w:i/>
          <w:iCs/>
          <w:szCs w:val="24"/>
          <w:lang w:val="sv-SE"/>
        </w:rPr>
        <w:t>a) Akut toxicitet</w:t>
      </w:r>
    </w:p>
    <w:p w14:paraId="54C3E424" w14:textId="77777777" w:rsidR="00A67877" w:rsidRPr="0027385B" w:rsidRDefault="00A67877" w:rsidP="00A67877">
      <w:pPr>
        <w:widowControl/>
        <w:tabs>
          <w:tab w:val="clear" w:pos="567"/>
        </w:tabs>
        <w:rPr>
          <w:szCs w:val="24"/>
          <w:lang w:val="sv-SE"/>
        </w:rPr>
      </w:pPr>
      <w:r w:rsidRPr="0027385B">
        <w:rPr>
          <w:szCs w:val="24"/>
          <w:lang w:val="sv-SE"/>
        </w:rPr>
        <w:t>Ingen mortalitet sågs hos råtta och mus vid doser upp till 3000 mg/kg kroppsvikt eller hos hund vid doser upp till 1000 mg/kg kroppsvikt.</w:t>
      </w:r>
    </w:p>
    <w:p w14:paraId="7A140CEB" w14:textId="77777777" w:rsidR="00A67877" w:rsidRPr="0027385B" w:rsidRDefault="00A67877" w:rsidP="00A67877">
      <w:pPr>
        <w:widowControl/>
        <w:tabs>
          <w:tab w:val="clear" w:pos="567"/>
        </w:tabs>
        <w:rPr>
          <w:szCs w:val="24"/>
          <w:lang w:val="sv-SE"/>
        </w:rPr>
      </w:pPr>
    </w:p>
    <w:p w14:paraId="6E409D63" w14:textId="77777777" w:rsidR="00A67877" w:rsidRPr="00ED54E5" w:rsidRDefault="00A67877" w:rsidP="00A67877">
      <w:pPr>
        <w:widowControl/>
        <w:tabs>
          <w:tab w:val="clear" w:pos="567"/>
        </w:tabs>
        <w:rPr>
          <w:i/>
          <w:iCs/>
          <w:szCs w:val="24"/>
          <w:lang w:val="sv-SE"/>
        </w:rPr>
      </w:pPr>
      <w:r w:rsidRPr="00ED54E5">
        <w:rPr>
          <w:i/>
          <w:iCs/>
          <w:lang w:val="sv-SE"/>
        </w:rPr>
        <w:t xml:space="preserve">b) </w:t>
      </w:r>
      <w:r w:rsidRPr="00ED54E5">
        <w:rPr>
          <w:i/>
          <w:iCs/>
          <w:szCs w:val="24"/>
          <w:lang w:val="sv-SE"/>
        </w:rPr>
        <w:t>Kronisk toxicitet</w:t>
      </w:r>
    </w:p>
    <w:p w14:paraId="3FE2CF48" w14:textId="77777777" w:rsidR="00A67877" w:rsidRPr="0027385B" w:rsidRDefault="00A67877" w:rsidP="00A67877">
      <w:pPr>
        <w:widowControl/>
        <w:tabs>
          <w:tab w:val="clear" w:pos="567"/>
        </w:tabs>
        <w:rPr>
          <w:szCs w:val="24"/>
          <w:lang w:val="sv-SE"/>
        </w:rPr>
      </w:pPr>
      <w:r w:rsidRPr="0027385B">
        <w:rPr>
          <w:szCs w:val="24"/>
          <w:lang w:val="sv-SE"/>
        </w:rPr>
        <w:t>I de kroniska toxicitetsstudierna kunde inga toxiska effekter visas hos råtta (efter oral administrering av doser upp till 1000 mg/kg kroppsvikt/dag i upp till 6 månader). Oral administrering av eprosartan till hund ledde efter 6 månader till en minskning av erytrocytantal, hemoglobinkoncentration och hematokrit vid doser på 30 mg/kg kroppsvikt/dag eller högre. Dessa värden normaliserades efter ett år, trots kontinuerlig administrering.</w:t>
      </w:r>
    </w:p>
    <w:p w14:paraId="7B36E1C8" w14:textId="77777777" w:rsidR="00A67877" w:rsidRPr="0027385B" w:rsidRDefault="00A67877" w:rsidP="00A67877">
      <w:pPr>
        <w:widowControl/>
        <w:tabs>
          <w:tab w:val="clear" w:pos="567"/>
        </w:tabs>
        <w:rPr>
          <w:szCs w:val="24"/>
          <w:lang w:val="sv-SE"/>
        </w:rPr>
      </w:pPr>
    </w:p>
    <w:p w14:paraId="0380B3B1" w14:textId="77777777" w:rsidR="00A67877" w:rsidRPr="00ED54E5" w:rsidRDefault="00A67877" w:rsidP="00A67877">
      <w:pPr>
        <w:widowControl/>
        <w:tabs>
          <w:tab w:val="clear" w:pos="567"/>
        </w:tabs>
        <w:rPr>
          <w:i/>
          <w:iCs/>
          <w:szCs w:val="24"/>
          <w:lang w:val="sv-SE"/>
        </w:rPr>
      </w:pPr>
      <w:r w:rsidRPr="00ED54E5">
        <w:rPr>
          <w:i/>
          <w:iCs/>
          <w:lang w:val="sv-SE"/>
        </w:rPr>
        <w:t xml:space="preserve">c) </w:t>
      </w:r>
      <w:r w:rsidRPr="00ED54E5">
        <w:rPr>
          <w:i/>
          <w:iCs/>
          <w:szCs w:val="24"/>
          <w:lang w:val="sv-SE"/>
        </w:rPr>
        <w:t>Reproduktions- och utvecklingstoxicitet</w:t>
      </w:r>
    </w:p>
    <w:p w14:paraId="7B7A2E7E" w14:textId="77777777" w:rsidR="00A67877" w:rsidRPr="0027385B" w:rsidRDefault="00A67877" w:rsidP="00A67877">
      <w:pPr>
        <w:widowControl/>
        <w:tabs>
          <w:tab w:val="clear" w:pos="567"/>
        </w:tabs>
        <w:rPr>
          <w:szCs w:val="24"/>
          <w:lang w:val="sv-SE"/>
        </w:rPr>
      </w:pPr>
      <w:r w:rsidRPr="0027385B">
        <w:rPr>
          <w:szCs w:val="24"/>
          <w:lang w:val="sv-SE"/>
        </w:rPr>
        <w:t>Eprosartan, givet i en dos av 10 mg/kg kroppsvikt per dag till dräktiga kaniner under senare delen av dräktigheten, ledde till mortalitet hos både moder och foster. Toxiska effekter på modern observerades vid en dos av 3 mg/kg kroppsvikt per dag men några effekter på fostret observerades inte vid denna dosnivå.</w:t>
      </w:r>
    </w:p>
    <w:p w14:paraId="19568386" w14:textId="77777777" w:rsidR="00A67877" w:rsidRPr="0027385B" w:rsidRDefault="00A67877" w:rsidP="00A67877">
      <w:pPr>
        <w:widowControl/>
        <w:tabs>
          <w:tab w:val="clear" w:pos="567"/>
        </w:tabs>
        <w:rPr>
          <w:szCs w:val="24"/>
          <w:lang w:val="sv-SE"/>
        </w:rPr>
      </w:pPr>
    </w:p>
    <w:p w14:paraId="270066F3" w14:textId="77777777" w:rsidR="00A67877" w:rsidRPr="00ED54E5" w:rsidRDefault="00A67877" w:rsidP="00A67877">
      <w:pPr>
        <w:widowControl/>
        <w:tabs>
          <w:tab w:val="clear" w:pos="567"/>
        </w:tabs>
        <w:rPr>
          <w:i/>
          <w:iCs/>
          <w:szCs w:val="24"/>
          <w:lang w:val="sv-SE"/>
        </w:rPr>
      </w:pPr>
      <w:r w:rsidRPr="00ED54E5">
        <w:rPr>
          <w:i/>
          <w:iCs/>
          <w:lang w:val="sv-SE"/>
        </w:rPr>
        <w:t xml:space="preserve">d) </w:t>
      </w:r>
      <w:r w:rsidRPr="00ED54E5">
        <w:rPr>
          <w:i/>
          <w:iCs/>
          <w:szCs w:val="24"/>
          <w:lang w:val="sv-SE"/>
        </w:rPr>
        <w:t>Genotoxicitet</w:t>
      </w:r>
    </w:p>
    <w:p w14:paraId="557A45C1" w14:textId="77777777" w:rsidR="00A67877" w:rsidRPr="0027385B" w:rsidRDefault="00A67877" w:rsidP="00A67877">
      <w:pPr>
        <w:widowControl/>
        <w:tabs>
          <w:tab w:val="clear" w:pos="567"/>
        </w:tabs>
        <w:rPr>
          <w:szCs w:val="24"/>
          <w:lang w:val="sv-SE"/>
        </w:rPr>
      </w:pPr>
      <w:r w:rsidRPr="0027385B">
        <w:rPr>
          <w:szCs w:val="24"/>
          <w:lang w:val="sv-SE"/>
        </w:rPr>
        <w:t xml:space="preserve">Genotoxicitet har inte observerats vid undersökning med ett flertal </w:t>
      </w:r>
      <w:r w:rsidRPr="0027385B">
        <w:rPr>
          <w:i/>
          <w:szCs w:val="24"/>
          <w:lang w:val="sv-SE"/>
        </w:rPr>
        <w:t>in vitro</w:t>
      </w:r>
      <w:r w:rsidRPr="0027385B">
        <w:rPr>
          <w:szCs w:val="24"/>
          <w:lang w:val="sv-SE"/>
        </w:rPr>
        <w:t xml:space="preserve"> och </w:t>
      </w:r>
      <w:r w:rsidRPr="0027385B">
        <w:rPr>
          <w:i/>
          <w:szCs w:val="24"/>
          <w:lang w:val="sv-SE"/>
        </w:rPr>
        <w:t>in vivo</w:t>
      </w:r>
      <w:r w:rsidRPr="0027385B">
        <w:rPr>
          <w:szCs w:val="24"/>
          <w:lang w:val="sv-SE"/>
        </w:rPr>
        <w:t xml:space="preserve"> test.</w:t>
      </w:r>
    </w:p>
    <w:p w14:paraId="4ED2CFE9" w14:textId="77777777" w:rsidR="00A67877" w:rsidRPr="0027385B" w:rsidRDefault="00A67877" w:rsidP="00A67877">
      <w:pPr>
        <w:widowControl/>
        <w:tabs>
          <w:tab w:val="clear" w:pos="567"/>
        </w:tabs>
        <w:rPr>
          <w:szCs w:val="24"/>
          <w:lang w:val="sv-SE"/>
        </w:rPr>
      </w:pPr>
    </w:p>
    <w:p w14:paraId="087EEC79" w14:textId="77777777" w:rsidR="00A67877" w:rsidRPr="00ED54E5" w:rsidRDefault="00A67877" w:rsidP="00A67877">
      <w:pPr>
        <w:widowControl/>
        <w:tabs>
          <w:tab w:val="clear" w:pos="567"/>
        </w:tabs>
        <w:rPr>
          <w:i/>
          <w:iCs/>
          <w:szCs w:val="24"/>
          <w:lang w:val="sv-SE"/>
        </w:rPr>
      </w:pPr>
      <w:r w:rsidRPr="00ED54E5">
        <w:rPr>
          <w:i/>
          <w:iCs/>
          <w:lang w:val="sv-SE"/>
        </w:rPr>
        <w:t xml:space="preserve">e) </w:t>
      </w:r>
      <w:r w:rsidRPr="00ED54E5">
        <w:rPr>
          <w:i/>
          <w:iCs/>
          <w:szCs w:val="24"/>
          <w:lang w:val="sv-SE"/>
        </w:rPr>
        <w:t>Karcinogenicitet</w:t>
      </w:r>
    </w:p>
    <w:p w14:paraId="084294BC" w14:textId="77777777" w:rsidR="00A67877" w:rsidRPr="0027385B" w:rsidRDefault="00A67877" w:rsidP="00A67877">
      <w:pPr>
        <w:widowControl/>
        <w:tabs>
          <w:tab w:val="clear" w:pos="567"/>
        </w:tabs>
        <w:rPr>
          <w:szCs w:val="24"/>
          <w:lang w:val="sv-SE"/>
        </w:rPr>
      </w:pPr>
      <w:r w:rsidRPr="0027385B">
        <w:rPr>
          <w:szCs w:val="24"/>
          <w:lang w:val="sv-SE"/>
        </w:rPr>
        <w:t>Karcinogenicitet har inte observerats hos råtta eller mus i doser upp till 600 resp</w:t>
      </w:r>
      <w:r>
        <w:rPr>
          <w:szCs w:val="24"/>
          <w:lang w:val="sv-SE"/>
        </w:rPr>
        <w:t>ektive</w:t>
      </w:r>
      <w:r w:rsidRPr="0027385B">
        <w:rPr>
          <w:szCs w:val="24"/>
          <w:lang w:val="sv-SE"/>
        </w:rPr>
        <w:t xml:space="preserve"> 2000 mg/kg kroppsvikt</w:t>
      </w:r>
      <w:r>
        <w:rPr>
          <w:szCs w:val="24"/>
          <w:lang w:val="sv-SE"/>
        </w:rPr>
        <w:t>/</w:t>
      </w:r>
      <w:r w:rsidRPr="0027385B">
        <w:rPr>
          <w:szCs w:val="24"/>
          <w:lang w:val="sv-SE"/>
        </w:rPr>
        <w:t xml:space="preserve"> dag under 2 år.</w:t>
      </w:r>
    </w:p>
    <w:p w14:paraId="7D509B4D" w14:textId="77777777" w:rsidR="00A67877" w:rsidRPr="0027385B" w:rsidRDefault="00A67877" w:rsidP="00A67877">
      <w:pPr>
        <w:widowControl/>
        <w:tabs>
          <w:tab w:val="clear" w:pos="567"/>
        </w:tabs>
        <w:rPr>
          <w:szCs w:val="24"/>
          <w:lang w:val="sv-SE"/>
        </w:rPr>
      </w:pPr>
    </w:p>
    <w:p w14:paraId="1862E338" w14:textId="77777777" w:rsidR="00A67877" w:rsidRPr="0027385B" w:rsidRDefault="00A67877" w:rsidP="00A67877">
      <w:pPr>
        <w:widowControl/>
        <w:tabs>
          <w:tab w:val="clear" w:pos="567"/>
        </w:tabs>
        <w:rPr>
          <w:szCs w:val="24"/>
          <w:lang w:val="sv-SE"/>
        </w:rPr>
      </w:pPr>
    </w:p>
    <w:p w14:paraId="24B393C4" w14:textId="77777777" w:rsidR="00A67877" w:rsidRPr="0027385B" w:rsidRDefault="00A67877" w:rsidP="00A67877">
      <w:pPr>
        <w:keepNext/>
        <w:widowControl/>
        <w:numPr>
          <w:ilvl w:val="0"/>
          <w:numId w:val="9"/>
        </w:numPr>
        <w:outlineLvl w:val="1"/>
        <w:rPr>
          <w:b/>
          <w:caps/>
          <w:szCs w:val="24"/>
          <w:lang w:val="sv-SE"/>
        </w:rPr>
      </w:pPr>
      <w:r w:rsidRPr="0027385B">
        <w:rPr>
          <w:b/>
          <w:caps/>
          <w:szCs w:val="24"/>
          <w:lang w:val="sv-SE"/>
        </w:rPr>
        <w:t>Farmaceutiska Uppgifter</w:t>
      </w:r>
    </w:p>
    <w:p w14:paraId="1838976E" w14:textId="77777777" w:rsidR="00A67877" w:rsidRPr="0027385B" w:rsidRDefault="00A67877" w:rsidP="00A67877">
      <w:pPr>
        <w:widowControl/>
        <w:tabs>
          <w:tab w:val="clear" w:pos="567"/>
        </w:tabs>
        <w:rPr>
          <w:szCs w:val="24"/>
          <w:lang w:val="sv-SE"/>
        </w:rPr>
      </w:pPr>
    </w:p>
    <w:p w14:paraId="4E16068A"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Förteckning över hjälpämnen</w:t>
      </w:r>
    </w:p>
    <w:p w14:paraId="3E05C316" w14:textId="77777777" w:rsidR="00A67877" w:rsidRPr="0027385B" w:rsidRDefault="00A67877" w:rsidP="00A67877">
      <w:pPr>
        <w:widowControl/>
        <w:tabs>
          <w:tab w:val="clear" w:pos="567"/>
        </w:tabs>
        <w:rPr>
          <w:szCs w:val="24"/>
          <w:lang w:val="sv-SE"/>
        </w:rPr>
      </w:pPr>
    </w:p>
    <w:p w14:paraId="7E19EC7E" w14:textId="77777777" w:rsidR="00A67877" w:rsidRPr="0027385B" w:rsidRDefault="00A67877" w:rsidP="00A67877">
      <w:pPr>
        <w:widowControl/>
        <w:tabs>
          <w:tab w:val="clear" w:pos="567"/>
        </w:tabs>
        <w:rPr>
          <w:szCs w:val="24"/>
          <w:u w:val="single"/>
          <w:lang w:val="sv-SE"/>
        </w:rPr>
      </w:pPr>
      <w:r w:rsidRPr="0027385B">
        <w:rPr>
          <w:szCs w:val="24"/>
          <w:u w:val="single"/>
          <w:lang w:val="sv-SE"/>
        </w:rPr>
        <w:t>Tablettkärna</w:t>
      </w:r>
    </w:p>
    <w:p w14:paraId="4392A53E" w14:textId="77777777" w:rsidR="00A67877" w:rsidRPr="0027385B" w:rsidRDefault="00A67877" w:rsidP="00A67877">
      <w:pPr>
        <w:widowControl/>
        <w:tabs>
          <w:tab w:val="clear" w:pos="567"/>
        </w:tabs>
        <w:rPr>
          <w:szCs w:val="24"/>
          <w:lang w:val="sv-SE"/>
        </w:rPr>
      </w:pPr>
      <w:r w:rsidRPr="0027385B">
        <w:rPr>
          <w:szCs w:val="24"/>
          <w:lang w:val="sv-SE"/>
        </w:rPr>
        <w:t>laktosmonohydrat</w:t>
      </w:r>
    </w:p>
    <w:p w14:paraId="6BDA24F2" w14:textId="77777777" w:rsidR="00A67877" w:rsidRPr="0027385B" w:rsidRDefault="00A67877" w:rsidP="00A67877">
      <w:pPr>
        <w:widowControl/>
        <w:tabs>
          <w:tab w:val="clear" w:pos="567"/>
        </w:tabs>
        <w:rPr>
          <w:szCs w:val="24"/>
          <w:lang w:val="sv-SE"/>
        </w:rPr>
      </w:pPr>
      <w:r w:rsidRPr="0027385B">
        <w:rPr>
          <w:szCs w:val="24"/>
          <w:lang w:val="sv-SE"/>
        </w:rPr>
        <w:t xml:space="preserve">mikrokristallin cellulosa </w:t>
      </w:r>
    </w:p>
    <w:p w14:paraId="2AC8478F" w14:textId="77777777" w:rsidR="00A67877" w:rsidRDefault="00A67877" w:rsidP="00A67877">
      <w:pPr>
        <w:widowControl/>
        <w:tabs>
          <w:tab w:val="clear" w:pos="567"/>
        </w:tabs>
        <w:rPr>
          <w:szCs w:val="24"/>
          <w:lang w:val="sv-SE"/>
        </w:rPr>
      </w:pPr>
      <w:r w:rsidRPr="0027385B">
        <w:rPr>
          <w:szCs w:val="24"/>
          <w:lang w:val="sv-SE"/>
        </w:rPr>
        <w:t>pregelatiniserad stärkelse</w:t>
      </w:r>
    </w:p>
    <w:p w14:paraId="606E054D" w14:textId="77777777" w:rsidR="00BB7632" w:rsidRPr="0027385B" w:rsidRDefault="00BB7632" w:rsidP="00BB7632">
      <w:pPr>
        <w:widowControl/>
        <w:tabs>
          <w:tab w:val="clear" w:pos="567"/>
        </w:tabs>
        <w:rPr>
          <w:szCs w:val="24"/>
          <w:lang w:val="sv-SE"/>
        </w:rPr>
      </w:pPr>
      <w:r w:rsidRPr="0027385B">
        <w:rPr>
          <w:szCs w:val="24"/>
          <w:lang w:val="sv-SE"/>
        </w:rPr>
        <w:t>krospovidon</w:t>
      </w:r>
    </w:p>
    <w:p w14:paraId="77CE3855" w14:textId="77777777" w:rsidR="00BB7632" w:rsidRPr="0027385B" w:rsidRDefault="00BB7632" w:rsidP="00A67877">
      <w:pPr>
        <w:widowControl/>
        <w:tabs>
          <w:tab w:val="clear" w:pos="567"/>
        </w:tabs>
        <w:rPr>
          <w:szCs w:val="24"/>
          <w:lang w:val="sv-SE"/>
        </w:rPr>
      </w:pPr>
      <w:r w:rsidRPr="00BB7632">
        <w:rPr>
          <w:szCs w:val="24"/>
          <w:lang w:val="sv-SE"/>
        </w:rPr>
        <w:t>magnesiumstearat</w:t>
      </w:r>
    </w:p>
    <w:p w14:paraId="3D53FB28" w14:textId="77777777" w:rsidR="00A67877" w:rsidRPr="0027385B" w:rsidRDefault="00A67877" w:rsidP="00A67877">
      <w:pPr>
        <w:widowControl/>
        <w:tabs>
          <w:tab w:val="clear" w:pos="567"/>
        </w:tabs>
        <w:rPr>
          <w:szCs w:val="24"/>
          <w:lang w:val="sv-SE"/>
        </w:rPr>
      </w:pPr>
      <w:r w:rsidRPr="0027385B">
        <w:rPr>
          <w:szCs w:val="24"/>
          <w:lang w:val="sv-SE"/>
        </w:rPr>
        <w:t>vatten, renat</w:t>
      </w:r>
    </w:p>
    <w:p w14:paraId="59D7051F" w14:textId="77777777" w:rsidR="00A67877" w:rsidRPr="0027385B" w:rsidRDefault="00A67877" w:rsidP="00A67877">
      <w:pPr>
        <w:widowControl/>
        <w:tabs>
          <w:tab w:val="clear" w:pos="567"/>
        </w:tabs>
        <w:rPr>
          <w:i/>
          <w:szCs w:val="24"/>
          <w:lang w:val="sv-SE"/>
        </w:rPr>
      </w:pPr>
    </w:p>
    <w:p w14:paraId="28EC5D11" w14:textId="77777777" w:rsidR="00A67877" w:rsidRPr="0027385B" w:rsidRDefault="00A67877" w:rsidP="00A67877">
      <w:pPr>
        <w:widowControl/>
        <w:tabs>
          <w:tab w:val="clear" w:pos="567"/>
        </w:tabs>
        <w:rPr>
          <w:szCs w:val="24"/>
          <w:lang w:val="sv-SE"/>
        </w:rPr>
      </w:pPr>
      <w:r w:rsidRPr="0027385B">
        <w:rPr>
          <w:szCs w:val="24"/>
          <w:u w:val="single"/>
          <w:lang w:val="sv-SE"/>
        </w:rPr>
        <w:t>Dragéhölje</w:t>
      </w:r>
    </w:p>
    <w:p w14:paraId="0EBB10BF" w14:textId="77777777" w:rsidR="00A67877" w:rsidRDefault="00A67877" w:rsidP="00A67877">
      <w:pPr>
        <w:widowControl/>
        <w:tabs>
          <w:tab w:val="clear" w:pos="567"/>
        </w:tabs>
        <w:rPr>
          <w:szCs w:val="24"/>
          <w:lang w:val="sv-SE"/>
        </w:rPr>
      </w:pPr>
      <w:r w:rsidRPr="0027385B">
        <w:rPr>
          <w:szCs w:val="24"/>
          <w:lang w:val="sv-SE"/>
        </w:rPr>
        <w:t>hypromellos (E464)</w:t>
      </w:r>
    </w:p>
    <w:p w14:paraId="397E3260" w14:textId="77777777" w:rsidR="00BB7632" w:rsidRPr="0027385B" w:rsidRDefault="00BB7632" w:rsidP="00A67877">
      <w:pPr>
        <w:widowControl/>
        <w:tabs>
          <w:tab w:val="clear" w:pos="567"/>
        </w:tabs>
        <w:rPr>
          <w:szCs w:val="24"/>
          <w:lang w:val="sv-SE"/>
        </w:rPr>
      </w:pPr>
      <w:r w:rsidRPr="00BB7632">
        <w:rPr>
          <w:szCs w:val="24"/>
          <w:lang w:val="sv-SE"/>
        </w:rPr>
        <w:t>titandioxid (E171)</w:t>
      </w:r>
    </w:p>
    <w:p w14:paraId="395F4F30" w14:textId="77777777" w:rsidR="00A67877" w:rsidRPr="0027385B" w:rsidRDefault="00A67877" w:rsidP="00A67877">
      <w:pPr>
        <w:widowControl/>
        <w:tabs>
          <w:tab w:val="clear" w:pos="567"/>
        </w:tabs>
        <w:rPr>
          <w:szCs w:val="24"/>
          <w:lang w:val="sv-SE"/>
        </w:rPr>
      </w:pPr>
      <w:r w:rsidRPr="0027385B">
        <w:rPr>
          <w:szCs w:val="24"/>
          <w:lang w:val="sv-SE"/>
        </w:rPr>
        <w:lastRenderedPageBreak/>
        <w:t>makrogol 400</w:t>
      </w:r>
    </w:p>
    <w:p w14:paraId="186DB4C3" w14:textId="77777777" w:rsidR="00A67877" w:rsidRPr="0027385B" w:rsidRDefault="00A67877" w:rsidP="00A67877">
      <w:pPr>
        <w:widowControl/>
        <w:tabs>
          <w:tab w:val="clear" w:pos="567"/>
        </w:tabs>
        <w:rPr>
          <w:szCs w:val="24"/>
          <w:lang w:val="sv-SE"/>
        </w:rPr>
      </w:pPr>
      <w:r w:rsidRPr="0027385B">
        <w:rPr>
          <w:szCs w:val="24"/>
          <w:lang w:val="sv-SE"/>
        </w:rPr>
        <w:t>polysorbat 80 (E433)</w:t>
      </w:r>
    </w:p>
    <w:p w14:paraId="43BC6BE4" w14:textId="77777777" w:rsidR="00A67877" w:rsidRPr="0027385B" w:rsidRDefault="00A67877" w:rsidP="00A67877">
      <w:pPr>
        <w:widowControl/>
        <w:tabs>
          <w:tab w:val="clear" w:pos="567"/>
        </w:tabs>
        <w:rPr>
          <w:szCs w:val="24"/>
          <w:lang w:val="sv-SE"/>
        </w:rPr>
      </w:pPr>
    </w:p>
    <w:p w14:paraId="2E83D582"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Inkompatibiliteter</w:t>
      </w:r>
    </w:p>
    <w:p w14:paraId="12A2A13D" w14:textId="77777777" w:rsidR="00A67877" w:rsidRPr="0027385B" w:rsidRDefault="00A67877" w:rsidP="00A67877">
      <w:pPr>
        <w:widowControl/>
        <w:tabs>
          <w:tab w:val="clear" w:pos="567"/>
        </w:tabs>
        <w:rPr>
          <w:szCs w:val="24"/>
          <w:lang w:val="sv-SE"/>
        </w:rPr>
      </w:pPr>
    </w:p>
    <w:p w14:paraId="04105FCE" w14:textId="77777777" w:rsidR="00A67877" w:rsidRPr="0027385B" w:rsidRDefault="00A67877" w:rsidP="00A67877">
      <w:pPr>
        <w:widowControl/>
        <w:tabs>
          <w:tab w:val="clear" w:pos="567"/>
        </w:tabs>
        <w:rPr>
          <w:szCs w:val="24"/>
          <w:lang w:val="sv-SE"/>
        </w:rPr>
      </w:pPr>
      <w:r w:rsidRPr="0027385B">
        <w:rPr>
          <w:szCs w:val="24"/>
          <w:lang w:val="sv-SE"/>
        </w:rPr>
        <w:t>Ej relevant.</w:t>
      </w:r>
    </w:p>
    <w:p w14:paraId="03380F9F" w14:textId="77777777" w:rsidR="00A67877" w:rsidRPr="0027385B" w:rsidRDefault="00A67877" w:rsidP="00A67877">
      <w:pPr>
        <w:widowControl/>
        <w:tabs>
          <w:tab w:val="clear" w:pos="567"/>
        </w:tabs>
        <w:rPr>
          <w:szCs w:val="24"/>
          <w:lang w:val="sv-SE"/>
        </w:rPr>
      </w:pPr>
    </w:p>
    <w:p w14:paraId="18BBF991"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Hållbarhet</w:t>
      </w:r>
    </w:p>
    <w:p w14:paraId="7E61E8FF" w14:textId="77777777" w:rsidR="00A67877" w:rsidRPr="0027385B" w:rsidRDefault="00A67877" w:rsidP="00A67877">
      <w:pPr>
        <w:widowControl/>
        <w:tabs>
          <w:tab w:val="clear" w:pos="567"/>
        </w:tabs>
        <w:rPr>
          <w:szCs w:val="24"/>
          <w:lang w:val="sv-SE"/>
        </w:rPr>
      </w:pPr>
    </w:p>
    <w:p w14:paraId="0D346DC2" w14:textId="77777777" w:rsidR="00A67877" w:rsidRPr="0027385B" w:rsidRDefault="00A67877" w:rsidP="00A67877">
      <w:pPr>
        <w:widowControl/>
        <w:tabs>
          <w:tab w:val="clear" w:pos="567"/>
        </w:tabs>
        <w:rPr>
          <w:szCs w:val="24"/>
          <w:lang w:val="sv-SE"/>
        </w:rPr>
      </w:pPr>
      <w:r w:rsidRPr="0027385B">
        <w:rPr>
          <w:szCs w:val="24"/>
          <w:lang w:val="sv-SE"/>
        </w:rPr>
        <w:t xml:space="preserve">3 år. </w:t>
      </w:r>
    </w:p>
    <w:p w14:paraId="2F636D57" w14:textId="77777777" w:rsidR="00A67877" w:rsidRPr="0027385B" w:rsidRDefault="00A67877" w:rsidP="00A67877">
      <w:pPr>
        <w:widowControl/>
        <w:tabs>
          <w:tab w:val="clear" w:pos="567"/>
        </w:tabs>
        <w:rPr>
          <w:szCs w:val="24"/>
          <w:lang w:val="sv-SE"/>
        </w:rPr>
      </w:pPr>
    </w:p>
    <w:p w14:paraId="14666F7C"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Särskilda förvaringsanvisningar</w:t>
      </w:r>
    </w:p>
    <w:p w14:paraId="38CFA976" w14:textId="77777777" w:rsidR="00A67877" w:rsidRPr="0027385B" w:rsidRDefault="00A67877" w:rsidP="00A67877">
      <w:pPr>
        <w:widowControl/>
        <w:tabs>
          <w:tab w:val="clear" w:pos="567"/>
        </w:tabs>
        <w:rPr>
          <w:szCs w:val="24"/>
          <w:lang w:val="sv-SE"/>
        </w:rPr>
      </w:pPr>
    </w:p>
    <w:p w14:paraId="11A4DD4D" w14:textId="77777777" w:rsidR="00A67877" w:rsidRPr="0027385B" w:rsidRDefault="00A67877" w:rsidP="00A67877">
      <w:pPr>
        <w:widowControl/>
        <w:tabs>
          <w:tab w:val="clear" w:pos="567"/>
        </w:tabs>
        <w:rPr>
          <w:szCs w:val="24"/>
          <w:lang w:val="sv-SE"/>
        </w:rPr>
      </w:pPr>
      <w:r w:rsidRPr="0027385B">
        <w:rPr>
          <w:szCs w:val="24"/>
          <w:lang w:val="sv-SE"/>
        </w:rPr>
        <w:t xml:space="preserve">Förvaras vid högst </w:t>
      </w:r>
      <w:r w:rsidRPr="00924EB7">
        <w:rPr>
          <w:color w:val="000000"/>
          <w:szCs w:val="22"/>
        </w:rPr>
        <w:t>25 °C</w:t>
      </w:r>
      <w:r w:rsidRPr="0027385B">
        <w:rPr>
          <w:szCs w:val="24"/>
          <w:lang w:val="sv-SE"/>
        </w:rPr>
        <w:t xml:space="preserve">. </w:t>
      </w:r>
    </w:p>
    <w:p w14:paraId="7CCA86BF" w14:textId="77777777" w:rsidR="00A67877" w:rsidRPr="0027385B" w:rsidRDefault="00A67877" w:rsidP="00A67877">
      <w:pPr>
        <w:widowControl/>
        <w:tabs>
          <w:tab w:val="clear" w:pos="567"/>
        </w:tabs>
        <w:rPr>
          <w:szCs w:val="24"/>
          <w:lang w:val="sv-SE"/>
        </w:rPr>
      </w:pPr>
    </w:p>
    <w:p w14:paraId="00A03AF0"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Förpackningstyp och innehåll</w:t>
      </w:r>
    </w:p>
    <w:p w14:paraId="1E01ABE2" w14:textId="77777777" w:rsidR="00A67877" w:rsidRPr="0027385B" w:rsidRDefault="00A67877" w:rsidP="00A67877">
      <w:pPr>
        <w:widowControl/>
        <w:tabs>
          <w:tab w:val="clear" w:pos="567"/>
        </w:tabs>
        <w:rPr>
          <w:szCs w:val="24"/>
          <w:lang w:val="sv-SE"/>
        </w:rPr>
      </w:pPr>
    </w:p>
    <w:p w14:paraId="412BB466" w14:textId="77777777" w:rsidR="00A67877" w:rsidRPr="0027385B" w:rsidRDefault="00A67877" w:rsidP="00A67877">
      <w:pPr>
        <w:keepNext/>
        <w:widowControl/>
        <w:tabs>
          <w:tab w:val="clear" w:pos="567"/>
        </w:tabs>
        <w:rPr>
          <w:szCs w:val="24"/>
          <w:lang w:val="sv-SE"/>
        </w:rPr>
      </w:pPr>
      <w:r w:rsidRPr="0027385B">
        <w:rPr>
          <w:szCs w:val="24"/>
          <w:lang w:val="sv-SE"/>
        </w:rPr>
        <w:t xml:space="preserve">Tryckförpackning av vit PVC/PCTFE/Al eller PVC/PVDC/Al. </w:t>
      </w:r>
    </w:p>
    <w:p w14:paraId="44B49458" w14:textId="77777777" w:rsidR="00A67877" w:rsidRPr="0027385B" w:rsidRDefault="00A67877" w:rsidP="00A67877">
      <w:pPr>
        <w:widowControl/>
        <w:tabs>
          <w:tab w:val="clear" w:pos="567"/>
        </w:tabs>
        <w:rPr>
          <w:szCs w:val="24"/>
          <w:lang w:val="sv-SE"/>
        </w:rPr>
      </w:pPr>
    </w:p>
    <w:tbl>
      <w:tblPr>
        <w:tblW w:w="0" w:type="auto"/>
        <w:tblLook w:val="0000" w:firstRow="0" w:lastRow="0" w:firstColumn="0" w:lastColumn="0" w:noHBand="0" w:noVBand="0"/>
      </w:tblPr>
      <w:tblGrid>
        <w:gridCol w:w="4253"/>
        <w:gridCol w:w="2801"/>
      </w:tblGrid>
      <w:tr w:rsidR="00A67877" w:rsidRPr="0027385B" w14:paraId="68FB376A" w14:textId="77777777" w:rsidTr="00BB7632">
        <w:trPr>
          <w:cantSplit/>
        </w:trPr>
        <w:tc>
          <w:tcPr>
            <w:tcW w:w="4253" w:type="dxa"/>
          </w:tcPr>
          <w:p w14:paraId="5EABC9AF" w14:textId="77777777" w:rsidR="00A67877" w:rsidRPr="0027385B" w:rsidRDefault="00A67877" w:rsidP="00A67877">
            <w:pPr>
              <w:keepNext/>
              <w:widowControl/>
              <w:tabs>
                <w:tab w:val="clear" w:pos="567"/>
              </w:tabs>
              <w:rPr>
                <w:szCs w:val="24"/>
                <w:lang w:val="sv-SE"/>
              </w:rPr>
            </w:pPr>
            <w:r w:rsidRPr="0027385B">
              <w:rPr>
                <w:szCs w:val="24"/>
                <w:lang w:val="sv-SE"/>
              </w:rPr>
              <w:t>Tryckförpackningar:</w:t>
            </w:r>
          </w:p>
        </w:tc>
        <w:tc>
          <w:tcPr>
            <w:tcW w:w="2801" w:type="dxa"/>
          </w:tcPr>
          <w:p w14:paraId="7F6536FB" w14:textId="77777777" w:rsidR="00A67877" w:rsidRPr="0027385B" w:rsidRDefault="00A67877" w:rsidP="00A67877">
            <w:pPr>
              <w:keepNext/>
              <w:widowControl/>
              <w:tabs>
                <w:tab w:val="clear" w:pos="567"/>
              </w:tabs>
              <w:jc w:val="right"/>
              <w:rPr>
                <w:szCs w:val="24"/>
                <w:lang w:val="sv-SE"/>
              </w:rPr>
            </w:pPr>
          </w:p>
        </w:tc>
      </w:tr>
      <w:tr w:rsidR="00BB7632" w:rsidRPr="0027385B" w14:paraId="6DD3F591" w14:textId="77777777" w:rsidTr="00BB7632">
        <w:trPr>
          <w:cantSplit/>
        </w:trPr>
        <w:tc>
          <w:tcPr>
            <w:tcW w:w="4253" w:type="dxa"/>
          </w:tcPr>
          <w:p w14:paraId="0889BDA5" w14:textId="77777777" w:rsidR="00BB7632" w:rsidRPr="0027385B" w:rsidRDefault="00BB7632" w:rsidP="00BB7632">
            <w:pPr>
              <w:keepNext/>
              <w:widowControl/>
              <w:tabs>
                <w:tab w:val="clear" w:pos="567"/>
              </w:tabs>
              <w:rPr>
                <w:szCs w:val="24"/>
                <w:lang w:val="sv-SE"/>
              </w:rPr>
            </w:pPr>
            <w:r w:rsidRPr="0027385B">
              <w:rPr>
                <w:szCs w:val="24"/>
                <w:lang w:val="sv-SE"/>
              </w:rPr>
              <w:t>14 filmdragerade tabletter</w:t>
            </w:r>
          </w:p>
        </w:tc>
        <w:tc>
          <w:tcPr>
            <w:tcW w:w="2801" w:type="dxa"/>
          </w:tcPr>
          <w:p w14:paraId="273D1824" w14:textId="77777777" w:rsidR="00BB7632" w:rsidRPr="0027385B" w:rsidRDefault="00BB7632" w:rsidP="00BB7632">
            <w:pPr>
              <w:keepNext/>
              <w:widowControl/>
              <w:tabs>
                <w:tab w:val="clear" w:pos="567"/>
              </w:tabs>
              <w:jc w:val="right"/>
              <w:rPr>
                <w:szCs w:val="24"/>
                <w:lang w:val="sv-SE"/>
              </w:rPr>
            </w:pPr>
          </w:p>
        </w:tc>
      </w:tr>
      <w:tr w:rsidR="00BB7632" w:rsidRPr="0027385B" w14:paraId="608C029D" w14:textId="77777777" w:rsidTr="00BB7632">
        <w:trPr>
          <w:cantSplit/>
        </w:trPr>
        <w:tc>
          <w:tcPr>
            <w:tcW w:w="4253" w:type="dxa"/>
          </w:tcPr>
          <w:p w14:paraId="7780A95E" w14:textId="77777777" w:rsidR="00BB7632" w:rsidRPr="0027385B" w:rsidRDefault="00BB7632" w:rsidP="00BB7632">
            <w:pPr>
              <w:keepNext/>
              <w:widowControl/>
              <w:tabs>
                <w:tab w:val="clear" w:pos="567"/>
              </w:tabs>
              <w:rPr>
                <w:szCs w:val="24"/>
                <w:lang w:val="sv-SE"/>
              </w:rPr>
            </w:pPr>
            <w:r w:rsidRPr="0027385B">
              <w:rPr>
                <w:szCs w:val="24"/>
                <w:lang w:val="sv-SE"/>
              </w:rPr>
              <w:t>28 filmdragerade tabletter</w:t>
            </w:r>
          </w:p>
        </w:tc>
        <w:tc>
          <w:tcPr>
            <w:tcW w:w="2801" w:type="dxa"/>
          </w:tcPr>
          <w:p w14:paraId="1DEE785B" w14:textId="77777777" w:rsidR="00BB7632" w:rsidRPr="0027385B" w:rsidRDefault="00BB7632" w:rsidP="00BB7632">
            <w:pPr>
              <w:keepNext/>
              <w:widowControl/>
              <w:tabs>
                <w:tab w:val="clear" w:pos="567"/>
              </w:tabs>
              <w:jc w:val="right"/>
              <w:rPr>
                <w:szCs w:val="24"/>
                <w:lang w:val="sv-SE"/>
              </w:rPr>
            </w:pPr>
          </w:p>
        </w:tc>
      </w:tr>
      <w:tr w:rsidR="00BB7632" w:rsidRPr="0027385B" w14:paraId="0612E2B2" w14:textId="77777777" w:rsidTr="00BB7632">
        <w:trPr>
          <w:cantSplit/>
        </w:trPr>
        <w:tc>
          <w:tcPr>
            <w:tcW w:w="4253" w:type="dxa"/>
          </w:tcPr>
          <w:p w14:paraId="764D2CC7" w14:textId="77777777" w:rsidR="00BB7632" w:rsidRPr="0027385B" w:rsidRDefault="00BB7632" w:rsidP="00BB7632">
            <w:pPr>
              <w:keepNext/>
              <w:widowControl/>
              <w:tabs>
                <w:tab w:val="clear" w:pos="567"/>
              </w:tabs>
              <w:rPr>
                <w:szCs w:val="24"/>
                <w:lang w:val="sv-SE"/>
              </w:rPr>
            </w:pPr>
            <w:r w:rsidRPr="0027385B">
              <w:rPr>
                <w:szCs w:val="24"/>
                <w:lang w:val="sv-SE"/>
              </w:rPr>
              <w:t>56 filmdragerade tabletter</w:t>
            </w:r>
          </w:p>
        </w:tc>
        <w:tc>
          <w:tcPr>
            <w:tcW w:w="2801" w:type="dxa"/>
          </w:tcPr>
          <w:p w14:paraId="09BBD624" w14:textId="77777777" w:rsidR="00BB7632" w:rsidRPr="0027385B" w:rsidRDefault="00BB7632" w:rsidP="00BB7632">
            <w:pPr>
              <w:keepNext/>
              <w:widowControl/>
              <w:tabs>
                <w:tab w:val="clear" w:pos="567"/>
              </w:tabs>
              <w:jc w:val="right"/>
              <w:rPr>
                <w:szCs w:val="24"/>
                <w:lang w:val="sv-SE"/>
              </w:rPr>
            </w:pPr>
          </w:p>
        </w:tc>
      </w:tr>
      <w:tr w:rsidR="00BB7632" w:rsidRPr="0027385B" w14:paraId="417F1D39" w14:textId="77777777" w:rsidTr="00BB7632">
        <w:trPr>
          <w:cantSplit/>
        </w:trPr>
        <w:tc>
          <w:tcPr>
            <w:tcW w:w="4253" w:type="dxa"/>
          </w:tcPr>
          <w:p w14:paraId="1D8F824F" w14:textId="77777777" w:rsidR="00BB7632" w:rsidRPr="0027385B" w:rsidRDefault="00BB7632" w:rsidP="00BB7632">
            <w:pPr>
              <w:keepNext/>
              <w:widowControl/>
              <w:tabs>
                <w:tab w:val="clear" w:pos="567"/>
              </w:tabs>
              <w:rPr>
                <w:szCs w:val="24"/>
                <w:lang w:val="sv-SE"/>
              </w:rPr>
            </w:pPr>
            <w:r w:rsidRPr="0027385B">
              <w:rPr>
                <w:szCs w:val="24"/>
                <w:lang w:val="sv-SE"/>
              </w:rPr>
              <w:t>98 filmdragerade tabletter</w:t>
            </w:r>
          </w:p>
        </w:tc>
        <w:tc>
          <w:tcPr>
            <w:tcW w:w="2801" w:type="dxa"/>
          </w:tcPr>
          <w:p w14:paraId="2586DAA8" w14:textId="77777777" w:rsidR="00BB7632" w:rsidRPr="0027385B" w:rsidRDefault="00BB7632" w:rsidP="00BB7632">
            <w:pPr>
              <w:keepNext/>
              <w:widowControl/>
              <w:tabs>
                <w:tab w:val="clear" w:pos="567"/>
              </w:tabs>
              <w:jc w:val="right"/>
              <w:rPr>
                <w:szCs w:val="24"/>
                <w:lang w:val="sv-SE"/>
              </w:rPr>
            </w:pPr>
          </w:p>
        </w:tc>
      </w:tr>
      <w:tr w:rsidR="00BB7632" w:rsidRPr="0027385B" w14:paraId="14E4F523" w14:textId="77777777" w:rsidTr="00BB7632">
        <w:tc>
          <w:tcPr>
            <w:tcW w:w="4253" w:type="dxa"/>
          </w:tcPr>
          <w:p w14:paraId="4490E468" w14:textId="77777777" w:rsidR="00BB7632" w:rsidRPr="0027385B" w:rsidRDefault="00BB7632" w:rsidP="00BB7632">
            <w:pPr>
              <w:widowControl/>
              <w:tabs>
                <w:tab w:val="clear" w:pos="567"/>
              </w:tabs>
              <w:rPr>
                <w:szCs w:val="24"/>
                <w:lang w:val="sv-SE"/>
              </w:rPr>
            </w:pPr>
            <w:r w:rsidRPr="0027385B">
              <w:rPr>
                <w:szCs w:val="24"/>
                <w:lang w:val="sv-SE"/>
              </w:rPr>
              <w:t>280 (10 x 28) filmdragerade tabletter</w:t>
            </w:r>
          </w:p>
        </w:tc>
        <w:tc>
          <w:tcPr>
            <w:tcW w:w="2801" w:type="dxa"/>
          </w:tcPr>
          <w:p w14:paraId="05973550" w14:textId="77777777" w:rsidR="00BB7632" w:rsidRPr="0027385B" w:rsidRDefault="00BB7632" w:rsidP="00BB7632">
            <w:pPr>
              <w:widowControl/>
              <w:tabs>
                <w:tab w:val="clear" w:pos="567"/>
              </w:tabs>
              <w:rPr>
                <w:szCs w:val="24"/>
                <w:lang w:val="sv-SE"/>
              </w:rPr>
            </w:pPr>
          </w:p>
        </w:tc>
      </w:tr>
      <w:tr w:rsidR="00BB7632" w:rsidRPr="0027385B" w14:paraId="4666CD07" w14:textId="77777777" w:rsidTr="00BB7632">
        <w:tc>
          <w:tcPr>
            <w:tcW w:w="4253" w:type="dxa"/>
          </w:tcPr>
          <w:p w14:paraId="2E9D0699" w14:textId="77777777" w:rsidR="00BB7632" w:rsidRPr="0027385B" w:rsidRDefault="00BB7632" w:rsidP="00BB7632">
            <w:pPr>
              <w:widowControl/>
              <w:tabs>
                <w:tab w:val="clear" w:pos="567"/>
              </w:tabs>
              <w:rPr>
                <w:szCs w:val="24"/>
                <w:lang w:val="sv-SE"/>
              </w:rPr>
            </w:pPr>
          </w:p>
        </w:tc>
        <w:tc>
          <w:tcPr>
            <w:tcW w:w="2801" w:type="dxa"/>
          </w:tcPr>
          <w:p w14:paraId="5912EEFA" w14:textId="77777777" w:rsidR="00BB7632" w:rsidRPr="0027385B" w:rsidRDefault="00BB7632" w:rsidP="00BB7632">
            <w:pPr>
              <w:widowControl/>
              <w:tabs>
                <w:tab w:val="clear" w:pos="567"/>
              </w:tabs>
              <w:jc w:val="right"/>
              <w:rPr>
                <w:szCs w:val="24"/>
                <w:lang w:val="sv-SE"/>
              </w:rPr>
            </w:pPr>
          </w:p>
        </w:tc>
      </w:tr>
    </w:tbl>
    <w:p w14:paraId="70D46812" w14:textId="77777777" w:rsidR="00A67877" w:rsidRPr="0027385B" w:rsidRDefault="00A67877" w:rsidP="00A67877">
      <w:pPr>
        <w:widowControl/>
        <w:tabs>
          <w:tab w:val="clear" w:pos="567"/>
        </w:tabs>
        <w:rPr>
          <w:szCs w:val="24"/>
          <w:lang w:val="sv-SE"/>
        </w:rPr>
      </w:pPr>
      <w:r w:rsidRPr="0027385B">
        <w:rPr>
          <w:szCs w:val="24"/>
          <w:lang w:val="sv-SE"/>
        </w:rPr>
        <w:t>Eventuellt kommer inte alla förpackningsstorlekar att marknadsföras.</w:t>
      </w:r>
    </w:p>
    <w:p w14:paraId="1FA97546" w14:textId="77777777" w:rsidR="00A67877" w:rsidRPr="0027385B" w:rsidRDefault="00A67877" w:rsidP="00A67877">
      <w:pPr>
        <w:widowControl/>
        <w:tabs>
          <w:tab w:val="clear" w:pos="567"/>
        </w:tabs>
        <w:rPr>
          <w:szCs w:val="24"/>
          <w:lang w:val="sv-SE"/>
        </w:rPr>
      </w:pPr>
    </w:p>
    <w:p w14:paraId="4304C649" w14:textId="77777777" w:rsidR="00A67877" w:rsidRPr="0027385B" w:rsidRDefault="00A67877" w:rsidP="00A67877">
      <w:pPr>
        <w:keepNext/>
        <w:widowControl/>
        <w:numPr>
          <w:ilvl w:val="1"/>
          <w:numId w:val="9"/>
        </w:numPr>
        <w:outlineLvl w:val="1"/>
        <w:rPr>
          <w:b/>
          <w:smallCaps/>
          <w:szCs w:val="24"/>
          <w:lang w:val="sv-SE"/>
        </w:rPr>
      </w:pPr>
      <w:r w:rsidRPr="0027385B">
        <w:rPr>
          <w:b/>
          <w:lang w:val="sv-SE"/>
        </w:rPr>
        <w:t>Anvisningar för användning och hantering samt destruktion</w:t>
      </w:r>
    </w:p>
    <w:p w14:paraId="2937BFC7" w14:textId="77777777" w:rsidR="00A67877" w:rsidRPr="0027385B" w:rsidRDefault="00A67877" w:rsidP="00A67877">
      <w:pPr>
        <w:widowControl/>
        <w:tabs>
          <w:tab w:val="clear" w:pos="567"/>
        </w:tabs>
        <w:rPr>
          <w:szCs w:val="24"/>
          <w:lang w:val="sv-SE"/>
        </w:rPr>
      </w:pPr>
    </w:p>
    <w:p w14:paraId="5AC5064A" w14:textId="77777777" w:rsidR="00A67877" w:rsidRPr="0027385B" w:rsidRDefault="00A67877" w:rsidP="00A67877">
      <w:pPr>
        <w:widowControl/>
        <w:tabs>
          <w:tab w:val="clear" w:pos="567"/>
        </w:tabs>
        <w:rPr>
          <w:szCs w:val="24"/>
          <w:lang w:val="sv-SE"/>
        </w:rPr>
      </w:pPr>
      <w:r w:rsidRPr="0027385B">
        <w:rPr>
          <w:szCs w:val="24"/>
          <w:lang w:val="sv-SE"/>
        </w:rPr>
        <w:t>Inga särskilda anvisningar.</w:t>
      </w:r>
    </w:p>
    <w:p w14:paraId="538F2C48" w14:textId="77777777" w:rsidR="00A67877" w:rsidRPr="0027385B" w:rsidRDefault="00A67877" w:rsidP="00A67877">
      <w:pPr>
        <w:widowControl/>
        <w:tabs>
          <w:tab w:val="clear" w:pos="567"/>
        </w:tabs>
        <w:rPr>
          <w:szCs w:val="24"/>
          <w:lang w:val="sv-SE"/>
        </w:rPr>
      </w:pPr>
    </w:p>
    <w:p w14:paraId="36A2B979" w14:textId="77777777" w:rsidR="00A67877" w:rsidRPr="0027385B" w:rsidRDefault="00A67877" w:rsidP="00A67877">
      <w:pPr>
        <w:widowControl/>
        <w:tabs>
          <w:tab w:val="clear" w:pos="567"/>
        </w:tabs>
        <w:rPr>
          <w:szCs w:val="24"/>
          <w:lang w:val="sv-SE"/>
        </w:rPr>
      </w:pPr>
    </w:p>
    <w:p w14:paraId="1BB21F57" w14:textId="77777777" w:rsidR="00A67877" w:rsidRPr="0027385B" w:rsidRDefault="00A67877" w:rsidP="00A67877">
      <w:pPr>
        <w:keepNext/>
        <w:widowControl/>
        <w:numPr>
          <w:ilvl w:val="0"/>
          <w:numId w:val="9"/>
        </w:numPr>
        <w:outlineLvl w:val="1"/>
        <w:rPr>
          <w:b/>
          <w:caps/>
          <w:szCs w:val="24"/>
          <w:lang w:val="sv-SE"/>
        </w:rPr>
      </w:pPr>
      <w:r w:rsidRPr="0027385B">
        <w:rPr>
          <w:b/>
          <w:caps/>
          <w:szCs w:val="24"/>
          <w:lang w:val="sv-SE"/>
        </w:rPr>
        <w:t>Innehavare av Godkännande För Försäljning</w:t>
      </w:r>
    </w:p>
    <w:p w14:paraId="1B6911EB" w14:textId="77777777" w:rsidR="00A67877" w:rsidRPr="0027385B" w:rsidRDefault="00A67877" w:rsidP="00A67877">
      <w:pPr>
        <w:widowControl/>
        <w:tabs>
          <w:tab w:val="clear" w:pos="567"/>
        </w:tabs>
        <w:rPr>
          <w:szCs w:val="24"/>
          <w:lang w:val="en-US"/>
        </w:rPr>
      </w:pPr>
    </w:p>
    <w:p w14:paraId="00D8FA96" w14:textId="77777777" w:rsidR="00CB21A1" w:rsidRDefault="00CB21A1" w:rsidP="00CB21A1">
      <w:r>
        <w:t>Viatris Oy</w:t>
      </w:r>
    </w:p>
    <w:p w14:paraId="1F11ED2A" w14:textId="77777777" w:rsidR="00CB21A1" w:rsidRDefault="00CB21A1" w:rsidP="00CB21A1">
      <w:r>
        <w:t>Vaisalavägen 2-8</w:t>
      </w:r>
    </w:p>
    <w:p w14:paraId="5D58BF0E" w14:textId="782C58A2" w:rsidR="00A67877" w:rsidRDefault="00CB21A1" w:rsidP="00A67877">
      <w:pPr>
        <w:widowControl/>
        <w:tabs>
          <w:tab w:val="clear" w:pos="567"/>
        </w:tabs>
        <w:rPr>
          <w:lang w:val="en-IE"/>
        </w:rPr>
      </w:pPr>
      <w:r>
        <w:t>02130 Esbo</w:t>
      </w:r>
      <w:r w:rsidRPr="00A77ED1" w:rsidDel="00CB21A1">
        <w:t xml:space="preserve"> </w:t>
      </w:r>
    </w:p>
    <w:p w14:paraId="30A66DD4" w14:textId="77777777" w:rsidR="00A67877" w:rsidRDefault="00A67877" w:rsidP="00A67877">
      <w:pPr>
        <w:widowControl/>
        <w:tabs>
          <w:tab w:val="clear" w:pos="567"/>
        </w:tabs>
        <w:rPr>
          <w:szCs w:val="24"/>
          <w:lang w:val="sv-SE"/>
        </w:rPr>
      </w:pPr>
    </w:p>
    <w:p w14:paraId="7BD02D83" w14:textId="77777777" w:rsidR="00A67877" w:rsidRPr="0027385B" w:rsidRDefault="00A67877" w:rsidP="00A67877">
      <w:pPr>
        <w:widowControl/>
        <w:tabs>
          <w:tab w:val="clear" w:pos="567"/>
        </w:tabs>
        <w:rPr>
          <w:szCs w:val="24"/>
          <w:lang w:val="sv-SE"/>
        </w:rPr>
      </w:pPr>
    </w:p>
    <w:p w14:paraId="7C6EF013" w14:textId="77777777" w:rsidR="00A67877" w:rsidRPr="0027385B" w:rsidRDefault="00A67877" w:rsidP="00A67877">
      <w:pPr>
        <w:keepNext/>
        <w:widowControl/>
        <w:numPr>
          <w:ilvl w:val="0"/>
          <w:numId w:val="9"/>
        </w:numPr>
        <w:outlineLvl w:val="1"/>
        <w:rPr>
          <w:b/>
          <w:smallCaps/>
          <w:szCs w:val="24"/>
          <w:lang w:val="sv-SE"/>
        </w:rPr>
      </w:pPr>
      <w:r w:rsidRPr="0027385B">
        <w:rPr>
          <w:b/>
          <w:caps/>
          <w:szCs w:val="24"/>
          <w:lang w:val="sv-SE"/>
        </w:rPr>
        <w:t>Nummer på godkännande för försäljning</w:t>
      </w:r>
    </w:p>
    <w:p w14:paraId="46FD01E9" w14:textId="77777777" w:rsidR="00A67877" w:rsidRPr="0027385B" w:rsidRDefault="00A67877" w:rsidP="00A67877">
      <w:pPr>
        <w:widowControl/>
        <w:tabs>
          <w:tab w:val="clear" w:pos="567"/>
        </w:tabs>
        <w:rPr>
          <w:szCs w:val="24"/>
          <w:lang w:val="sv-SE"/>
        </w:rPr>
      </w:pPr>
    </w:p>
    <w:p w14:paraId="733F2EF8" w14:textId="77777777" w:rsidR="00A67877" w:rsidRDefault="00A67877" w:rsidP="00A67877">
      <w:pPr>
        <w:tabs>
          <w:tab w:val="clear" w:pos="567"/>
        </w:tabs>
        <w:rPr>
          <w:szCs w:val="22"/>
        </w:rPr>
      </w:pPr>
      <w:r w:rsidRPr="00924EB7">
        <w:rPr>
          <w:szCs w:val="22"/>
        </w:rPr>
        <w:t>14674</w:t>
      </w:r>
    </w:p>
    <w:p w14:paraId="59F9CC70" w14:textId="77777777" w:rsidR="00A67877" w:rsidRPr="0027385B" w:rsidRDefault="00A67877" w:rsidP="00A67877">
      <w:pPr>
        <w:widowControl/>
        <w:tabs>
          <w:tab w:val="clear" w:pos="567"/>
        </w:tabs>
        <w:rPr>
          <w:szCs w:val="24"/>
          <w:lang w:val="sv-SE"/>
        </w:rPr>
      </w:pPr>
    </w:p>
    <w:p w14:paraId="5F24D7B3" w14:textId="77777777" w:rsidR="00A67877" w:rsidRPr="0027385B" w:rsidRDefault="00A67877" w:rsidP="00A67877">
      <w:pPr>
        <w:widowControl/>
        <w:tabs>
          <w:tab w:val="clear" w:pos="567"/>
        </w:tabs>
        <w:rPr>
          <w:szCs w:val="24"/>
          <w:lang w:val="sv-SE"/>
        </w:rPr>
      </w:pPr>
    </w:p>
    <w:p w14:paraId="2373E743" w14:textId="77777777" w:rsidR="00A67877" w:rsidRPr="0027385B" w:rsidRDefault="00A67877" w:rsidP="00A67877">
      <w:pPr>
        <w:keepNext/>
        <w:widowControl/>
        <w:numPr>
          <w:ilvl w:val="0"/>
          <w:numId w:val="9"/>
        </w:numPr>
        <w:outlineLvl w:val="1"/>
        <w:rPr>
          <w:b/>
          <w:smallCaps/>
          <w:szCs w:val="24"/>
          <w:lang w:val="sv-SE"/>
        </w:rPr>
      </w:pPr>
      <w:r w:rsidRPr="0027385B">
        <w:rPr>
          <w:b/>
          <w:caps/>
          <w:szCs w:val="24"/>
          <w:lang w:val="sv-SE"/>
        </w:rPr>
        <w:t>Datum för Första Godkännande/Förnyat Godkännande</w:t>
      </w:r>
    </w:p>
    <w:p w14:paraId="307BCB22" w14:textId="77777777" w:rsidR="00A67877" w:rsidRPr="0027385B" w:rsidRDefault="00A67877" w:rsidP="00A67877">
      <w:pPr>
        <w:widowControl/>
        <w:tabs>
          <w:tab w:val="clear" w:pos="567"/>
        </w:tabs>
        <w:rPr>
          <w:szCs w:val="24"/>
          <w:lang w:val="sv-SE"/>
        </w:rPr>
      </w:pPr>
    </w:p>
    <w:p w14:paraId="182CB05E" w14:textId="77777777" w:rsidR="00A67877" w:rsidRDefault="00A67877" w:rsidP="00A67877">
      <w:pPr>
        <w:widowControl/>
        <w:tabs>
          <w:tab w:val="clear" w:pos="567"/>
        </w:tabs>
      </w:pPr>
      <w:r w:rsidRPr="00924EB7">
        <w:rPr>
          <w:color w:val="000000"/>
          <w:szCs w:val="22"/>
        </w:rPr>
        <w:t xml:space="preserve">21.02.2000 / </w:t>
      </w:r>
      <w:r>
        <w:t>15.12.2008</w:t>
      </w:r>
    </w:p>
    <w:p w14:paraId="0576D7E6" w14:textId="77777777" w:rsidR="00A67877" w:rsidRPr="0027385B" w:rsidRDefault="00A67877" w:rsidP="00A67877">
      <w:pPr>
        <w:widowControl/>
        <w:tabs>
          <w:tab w:val="clear" w:pos="567"/>
        </w:tabs>
        <w:rPr>
          <w:szCs w:val="24"/>
          <w:lang w:val="sv-SE"/>
        </w:rPr>
      </w:pPr>
    </w:p>
    <w:p w14:paraId="3B454C8D" w14:textId="77777777" w:rsidR="00A67877" w:rsidRPr="0027385B" w:rsidRDefault="00A67877" w:rsidP="00A67877">
      <w:pPr>
        <w:widowControl/>
        <w:tabs>
          <w:tab w:val="clear" w:pos="567"/>
        </w:tabs>
        <w:rPr>
          <w:szCs w:val="24"/>
          <w:lang w:val="sv-SE"/>
        </w:rPr>
      </w:pPr>
    </w:p>
    <w:p w14:paraId="6C968753" w14:textId="77777777" w:rsidR="00A67877" w:rsidRPr="0027385B" w:rsidRDefault="00A67877" w:rsidP="00A67877">
      <w:pPr>
        <w:keepNext/>
        <w:widowControl/>
        <w:numPr>
          <w:ilvl w:val="0"/>
          <w:numId w:val="9"/>
        </w:numPr>
        <w:outlineLvl w:val="1"/>
        <w:rPr>
          <w:b/>
          <w:smallCaps/>
          <w:szCs w:val="24"/>
          <w:lang w:val="sv-SE"/>
        </w:rPr>
      </w:pPr>
      <w:r w:rsidRPr="0027385B">
        <w:rPr>
          <w:b/>
          <w:caps/>
          <w:szCs w:val="24"/>
          <w:lang w:val="sv-SE"/>
        </w:rPr>
        <w:t>Datum för Översyn av Produktresumén</w:t>
      </w:r>
    </w:p>
    <w:p w14:paraId="65D26DA4" w14:textId="77777777" w:rsidR="00A67877" w:rsidRPr="0027385B" w:rsidRDefault="00A67877" w:rsidP="00A67877">
      <w:pPr>
        <w:widowControl/>
        <w:tabs>
          <w:tab w:val="clear" w:pos="567"/>
        </w:tabs>
        <w:rPr>
          <w:szCs w:val="24"/>
          <w:lang w:val="sv-SE"/>
        </w:rPr>
      </w:pPr>
    </w:p>
    <w:p w14:paraId="54C51B65" w14:textId="585136BC" w:rsidR="00842EBE" w:rsidRPr="00924EB7" w:rsidRDefault="00CB21A1" w:rsidP="00A67877">
      <w:pPr>
        <w:rPr>
          <w:caps/>
          <w:szCs w:val="22"/>
        </w:rPr>
      </w:pPr>
      <w:r w:rsidRPr="00CB21A1">
        <w:rPr>
          <w:szCs w:val="22"/>
          <w:lang w:val="sv-SE"/>
        </w:rPr>
        <w:t>3.2.2022</w:t>
      </w:r>
    </w:p>
    <w:sectPr w:rsidR="00842EBE" w:rsidRPr="00924EB7" w:rsidSect="00766ADA">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A7DE" w14:textId="77777777" w:rsidR="001C60F0" w:rsidRDefault="001C60F0">
      <w:pPr>
        <w:widowControl/>
        <w:spacing w:line="20" w:lineRule="exact"/>
        <w:rPr>
          <w:sz w:val="24"/>
        </w:rPr>
      </w:pPr>
    </w:p>
  </w:endnote>
  <w:endnote w:type="continuationSeparator" w:id="0">
    <w:p w14:paraId="0CB9DBA8" w14:textId="77777777" w:rsidR="001C60F0" w:rsidRDefault="001C60F0">
      <w:r>
        <w:rPr>
          <w:sz w:val="24"/>
        </w:rPr>
        <w:t xml:space="preserve"> </w:t>
      </w:r>
    </w:p>
  </w:endnote>
  <w:endnote w:type="continuationNotice" w:id="1">
    <w:p w14:paraId="3062A40A" w14:textId="77777777" w:rsidR="001C60F0" w:rsidRDefault="001C60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1"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67F1" w14:textId="77777777" w:rsidR="001C60F0" w:rsidRDefault="001C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0CBA" w14:textId="77777777" w:rsidR="001C60F0" w:rsidRDefault="001C6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AC0C" w14:textId="77777777" w:rsidR="001C60F0" w:rsidRDefault="001C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E455" w14:textId="77777777" w:rsidR="001C60F0" w:rsidRDefault="001C60F0">
      <w:r>
        <w:rPr>
          <w:sz w:val="24"/>
        </w:rPr>
        <w:separator/>
      </w:r>
    </w:p>
  </w:footnote>
  <w:footnote w:type="continuationSeparator" w:id="0">
    <w:p w14:paraId="54B2AC77" w14:textId="77777777" w:rsidR="001C60F0" w:rsidRDefault="001C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4B59" w14:textId="77777777" w:rsidR="001C60F0" w:rsidRDefault="001C6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D387" w14:textId="77777777" w:rsidR="001C60F0" w:rsidRPr="00156B8B" w:rsidRDefault="001C60F0" w:rsidP="0027385B">
    <w:pPr>
      <w:pStyle w:val="Header"/>
      <w:jc w:val="right"/>
      <w:rPr>
        <w:rFonts w:ascii="Arial" w:hAnsi="Arial"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E0A" w14:textId="77777777" w:rsidR="001C60F0" w:rsidRDefault="001C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4AE8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E7309A"/>
    <w:multiLevelType w:val="multilevel"/>
    <w:tmpl w:val="E92CE61A"/>
    <w:lvl w:ilvl="0">
      <w:start w:val="1"/>
      <w:numFmt w:val="decimal"/>
      <w:lvlText w:val="%1."/>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2"/>
        <w:vertAlign w:val="baseline"/>
      </w:rPr>
    </w:lvl>
    <w:lvl w:ilvl="1">
      <w:start w:val="1"/>
      <w:numFmt w:val="decimal"/>
      <w:lvlText w:val="%1.%2"/>
      <w:lvlJc w:val="left"/>
      <w:pPr>
        <w:tabs>
          <w:tab w:val="num" w:pos="567"/>
        </w:tabs>
        <w:ind w:left="567" w:hanging="567"/>
      </w:pPr>
      <w:rPr>
        <w:rFonts w:ascii="Times New Roman" w:hAnsi="Times New Roman" w:hint="default"/>
        <w:b/>
        <w:i w:val="0"/>
        <w:caps w:val="0"/>
        <w:sz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891FB0"/>
    <w:multiLevelType w:val="hybridMultilevel"/>
    <w:tmpl w:val="0E3A171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8C67D1C"/>
    <w:multiLevelType w:val="hybridMultilevel"/>
    <w:tmpl w:val="C456A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232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42F64"/>
    <w:multiLevelType w:val="multilevel"/>
    <w:tmpl w:val="FFFFFFFF"/>
    <w:lvl w:ilvl="0">
      <w:start w:val="1"/>
      <w:numFmt w:val="decimal"/>
      <w:lvlText w:val="%1."/>
      <w:legacy w:legacy="1" w:legacySpace="120" w:legacyIndent="360"/>
      <w:lvlJc w:val="left"/>
      <w:pPr>
        <w:ind w:left="357" w:hanging="360"/>
      </w:pPr>
    </w:lvl>
    <w:lvl w:ilvl="1">
      <w:start w:val="1"/>
      <w:numFmt w:val="decimal"/>
      <w:lvlText w:val="%1.%2."/>
      <w:legacy w:legacy="1" w:legacySpace="120" w:legacyIndent="432"/>
      <w:lvlJc w:val="left"/>
      <w:pPr>
        <w:ind w:left="431" w:hanging="432"/>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50451E30"/>
    <w:multiLevelType w:val="singleLevel"/>
    <w:tmpl w:val="7970559C"/>
    <w:lvl w:ilvl="0">
      <w:start w:val="8"/>
      <w:numFmt w:val="decimal"/>
      <w:lvlText w:val="%1."/>
      <w:legacy w:legacy="1" w:legacySpace="0" w:legacyIndent="570"/>
      <w:lvlJc w:val="left"/>
      <w:pPr>
        <w:ind w:left="570" w:hanging="570"/>
      </w:pPr>
    </w:lvl>
  </w:abstractNum>
  <w:abstractNum w:abstractNumId="7" w15:restartNumberingAfterBreak="0">
    <w:nsid w:val="50BA43C6"/>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5EC7CEE"/>
    <w:multiLevelType w:val="hybridMultilevel"/>
    <w:tmpl w:val="AB8C9FA6"/>
    <w:lvl w:ilvl="0" w:tplc="271A99FE">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 w15:restartNumberingAfterBreak="0">
    <w:nsid w:val="5C9A3C43"/>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9"/>
  </w:num>
  <w:num w:numId="4">
    <w:abstractNumId w:val="4"/>
  </w:num>
  <w:num w:numId="5">
    <w:abstractNumId w:val="0"/>
  </w:num>
  <w:num w:numId="6">
    <w:abstractNumId w:val="5"/>
  </w:num>
  <w:num w:numId="7">
    <w:abstractNumId w:val="7"/>
  </w:num>
  <w:num w:numId="8">
    <w:abstractNumId w:val="2"/>
  </w:num>
  <w:num w:numId="9">
    <w:abstractNumId w:val="1"/>
  </w:num>
  <w:num w:numId="10">
    <w:abstractNumId w:val="8"/>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87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_extra_attribute" w:val="TEVETEN, VARIATION"/>
    <w:docVar w:name="o_title" w:val="Variaatio"/>
    <w:docVar w:name="Registered" w:val="-1"/>
    <w:docVar w:name="Version" w:val="0"/>
  </w:docVars>
  <w:rsids>
    <w:rsidRoot w:val="00500D5C"/>
    <w:rsid w:val="00010468"/>
    <w:rsid w:val="00015D5D"/>
    <w:rsid w:val="0001766F"/>
    <w:rsid w:val="00084AF5"/>
    <w:rsid w:val="000A30EF"/>
    <w:rsid w:val="000E267A"/>
    <w:rsid w:val="00140B8E"/>
    <w:rsid w:val="00153503"/>
    <w:rsid w:val="00182966"/>
    <w:rsid w:val="001C60F0"/>
    <w:rsid w:val="001D6F63"/>
    <w:rsid w:val="001F2BA3"/>
    <w:rsid w:val="002077B9"/>
    <w:rsid w:val="002272B7"/>
    <w:rsid w:val="00256B2A"/>
    <w:rsid w:val="0027038E"/>
    <w:rsid w:val="0027385B"/>
    <w:rsid w:val="002B4EA0"/>
    <w:rsid w:val="002D40EE"/>
    <w:rsid w:val="002D584A"/>
    <w:rsid w:val="002F2643"/>
    <w:rsid w:val="002F7873"/>
    <w:rsid w:val="0032101D"/>
    <w:rsid w:val="003364B2"/>
    <w:rsid w:val="003461AD"/>
    <w:rsid w:val="00372A5A"/>
    <w:rsid w:val="00372B72"/>
    <w:rsid w:val="00387830"/>
    <w:rsid w:val="003D5D93"/>
    <w:rsid w:val="003F672B"/>
    <w:rsid w:val="00414766"/>
    <w:rsid w:val="00441E8E"/>
    <w:rsid w:val="004459A8"/>
    <w:rsid w:val="004C7942"/>
    <w:rsid w:val="004E3F8A"/>
    <w:rsid w:val="00500D5C"/>
    <w:rsid w:val="00503EBC"/>
    <w:rsid w:val="005312CC"/>
    <w:rsid w:val="00540FED"/>
    <w:rsid w:val="00544D08"/>
    <w:rsid w:val="005456B5"/>
    <w:rsid w:val="00554126"/>
    <w:rsid w:val="00570D8C"/>
    <w:rsid w:val="00584E21"/>
    <w:rsid w:val="00593E32"/>
    <w:rsid w:val="005E0C2A"/>
    <w:rsid w:val="005E4B51"/>
    <w:rsid w:val="0061619D"/>
    <w:rsid w:val="0069162F"/>
    <w:rsid w:val="00696A38"/>
    <w:rsid w:val="006B2AF4"/>
    <w:rsid w:val="006E684F"/>
    <w:rsid w:val="006F0326"/>
    <w:rsid w:val="00736F0C"/>
    <w:rsid w:val="00755255"/>
    <w:rsid w:val="00760CF3"/>
    <w:rsid w:val="0076673E"/>
    <w:rsid w:val="00766ADA"/>
    <w:rsid w:val="00794409"/>
    <w:rsid w:val="007C35F0"/>
    <w:rsid w:val="007C7A47"/>
    <w:rsid w:val="007D10A8"/>
    <w:rsid w:val="007D3BC5"/>
    <w:rsid w:val="007E2364"/>
    <w:rsid w:val="007E7F96"/>
    <w:rsid w:val="008167DD"/>
    <w:rsid w:val="00842EBE"/>
    <w:rsid w:val="0085225C"/>
    <w:rsid w:val="008A2847"/>
    <w:rsid w:val="00924EB7"/>
    <w:rsid w:val="00933DD6"/>
    <w:rsid w:val="009D3795"/>
    <w:rsid w:val="009E353F"/>
    <w:rsid w:val="009F344F"/>
    <w:rsid w:val="00A0760D"/>
    <w:rsid w:val="00A24A1E"/>
    <w:rsid w:val="00A470EF"/>
    <w:rsid w:val="00A576E7"/>
    <w:rsid w:val="00A67877"/>
    <w:rsid w:val="00A75B90"/>
    <w:rsid w:val="00B003AF"/>
    <w:rsid w:val="00B05D48"/>
    <w:rsid w:val="00B168A1"/>
    <w:rsid w:val="00B34B8B"/>
    <w:rsid w:val="00BB7632"/>
    <w:rsid w:val="00BC35A4"/>
    <w:rsid w:val="00BF14EE"/>
    <w:rsid w:val="00BF5B40"/>
    <w:rsid w:val="00C117A0"/>
    <w:rsid w:val="00C365F5"/>
    <w:rsid w:val="00C66C6B"/>
    <w:rsid w:val="00C77466"/>
    <w:rsid w:val="00C96FB9"/>
    <w:rsid w:val="00CB21A1"/>
    <w:rsid w:val="00CC0844"/>
    <w:rsid w:val="00CD1966"/>
    <w:rsid w:val="00CE3597"/>
    <w:rsid w:val="00D144FB"/>
    <w:rsid w:val="00D16097"/>
    <w:rsid w:val="00D17793"/>
    <w:rsid w:val="00D44726"/>
    <w:rsid w:val="00D50B4C"/>
    <w:rsid w:val="00D523C8"/>
    <w:rsid w:val="00DD4C6F"/>
    <w:rsid w:val="00ED54E5"/>
    <w:rsid w:val="00F00DA6"/>
    <w:rsid w:val="00F81406"/>
    <w:rsid w:val="00F82F65"/>
    <w:rsid w:val="00F96B0B"/>
    <w:rsid w:val="00FB17C5"/>
    <w:rsid w:val="00FB5C8C"/>
    <w:rsid w:val="00F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5E21F8D8"/>
  <w15:docId w15:val="{987E75C7-42B3-4BDF-9D2D-7181271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A5A"/>
    <w:pPr>
      <w:widowControl w:val="0"/>
      <w:tabs>
        <w:tab w:val="left" w:pos="567"/>
      </w:tabs>
    </w:pPr>
    <w:rPr>
      <w:sz w:val="22"/>
      <w:lang w:val="fi-FI" w:eastAsia="en-US"/>
    </w:rPr>
  </w:style>
  <w:style w:type="paragraph" w:styleId="Heading1">
    <w:name w:val="heading 1"/>
    <w:basedOn w:val="Normal"/>
    <w:next w:val="Normal"/>
    <w:autoRedefine/>
    <w:qFormat/>
    <w:rsid w:val="0027385B"/>
    <w:pPr>
      <w:keepNext/>
      <w:numPr>
        <w:numId w:val="5"/>
      </w:numPr>
      <w:tabs>
        <w:tab w:val="clear" w:pos="432"/>
      </w:tabs>
      <w:spacing w:line="240" w:lineRule="exact"/>
      <w:ind w:left="567" w:hanging="567"/>
      <w:outlineLvl w:val="0"/>
    </w:pPr>
    <w:rPr>
      <w:b/>
      <w:bCs/>
      <w:caps/>
      <w:kern w:val="28"/>
      <w:szCs w:val="24"/>
    </w:rPr>
  </w:style>
  <w:style w:type="paragraph" w:styleId="Heading2">
    <w:name w:val="heading 2"/>
    <w:basedOn w:val="Normal"/>
    <w:next w:val="Normal"/>
    <w:autoRedefine/>
    <w:qFormat/>
    <w:rsid w:val="0027385B"/>
    <w:pPr>
      <w:keepNext/>
      <w:numPr>
        <w:ilvl w:val="1"/>
        <w:numId w:val="11"/>
      </w:numPr>
      <w:tabs>
        <w:tab w:val="clear" w:pos="576"/>
      </w:tabs>
      <w:suppressAutoHyphens/>
      <w:spacing w:line="240" w:lineRule="exact"/>
      <w:ind w:left="0" w:firstLine="0"/>
      <w:outlineLvl w:val="1"/>
    </w:pPr>
    <w:rPr>
      <w:b/>
      <w:lang w:val="en-GB"/>
    </w:rPr>
  </w:style>
  <w:style w:type="paragraph" w:styleId="Heading3">
    <w:name w:val="heading 3"/>
    <w:basedOn w:val="Normal"/>
    <w:next w:val="Normal"/>
    <w:qFormat/>
    <w:rsid w:val="006E684F"/>
    <w:pPr>
      <w:keepNext/>
      <w:numPr>
        <w:ilvl w:val="2"/>
        <w:numId w:val="11"/>
      </w:numPr>
      <w:tabs>
        <w:tab w:val="clear" w:pos="567"/>
      </w:tabs>
      <w:jc w:val="center"/>
      <w:outlineLvl w:val="2"/>
    </w:pPr>
    <w:rPr>
      <w:b/>
    </w:rPr>
  </w:style>
  <w:style w:type="paragraph" w:styleId="Heading4">
    <w:name w:val="heading 4"/>
    <w:basedOn w:val="Normal"/>
    <w:next w:val="Normal"/>
    <w:qFormat/>
    <w:rsid w:val="006E684F"/>
    <w:pPr>
      <w:keepNext/>
      <w:widowControl/>
      <w:numPr>
        <w:ilvl w:val="3"/>
        <w:numId w:val="11"/>
      </w:numPr>
      <w:tabs>
        <w:tab w:val="clear" w:pos="567"/>
      </w:tabs>
      <w:outlineLvl w:val="3"/>
    </w:pPr>
    <w:rPr>
      <w:b/>
      <w:noProof/>
    </w:rPr>
  </w:style>
  <w:style w:type="paragraph" w:styleId="Heading5">
    <w:name w:val="heading 5"/>
    <w:basedOn w:val="Normal"/>
    <w:next w:val="Normal"/>
    <w:qFormat/>
    <w:rsid w:val="006E684F"/>
    <w:pPr>
      <w:numPr>
        <w:ilvl w:val="4"/>
        <w:numId w:val="11"/>
      </w:numPr>
      <w:spacing w:before="240" w:after="60"/>
      <w:outlineLvl w:val="4"/>
    </w:pPr>
    <w:rPr>
      <w:b/>
      <w:bCs/>
      <w:i/>
      <w:iCs/>
      <w:sz w:val="26"/>
      <w:szCs w:val="26"/>
    </w:rPr>
  </w:style>
  <w:style w:type="paragraph" w:styleId="Heading6">
    <w:name w:val="heading 6"/>
    <w:basedOn w:val="Normal"/>
    <w:next w:val="Normal"/>
    <w:qFormat/>
    <w:rsid w:val="006E684F"/>
    <w:pPr>
      <w:keepNext/>
      <w:widowControl/>
      <w:numPr>
        <w:ilvl w:val="5"/>
        <w:numId w:val="11"/>
      </w:numPr>
      <w:tabs>
        <w:tab w:val="left" w:pos="-720"/>
        <w:tab w:val="left" w:pos="4536"/>
      </w:tabs>
      <w:suppressAutoHyphens/>
      <w:outlineLvl w:val="5"/>
    </w:pPr>
    <w:rPr>
      <w:i/>
      <w:lang w:val="en-GB"/>
    </w:rPr>
  </w:style>
  <w:style w:type="paragraph" w:styleId="Heading7">
    <w:name w:val="heading 7"/>
    <w:basedOn w:val="Normal"/>
    <w:next w:val="Normal"/>
    <w:qFormat/>
    <w:rsid w:val="006E684F"/>
    <w:pPr>
      <w:numPr>
        <w:ilvl w:val="6"/>
        <w:numId w:val="11"/>
      </w:numPr>
      <w:spacing w:before="240" w:after="60"/>
      <w:outlineLvl w:val="6"/>
    </w:pPr>
    <w:rPr>
      <w:sz w:val="24"/>
      <w:szCs w:val="24"/>
    </w:rPr>
  </w:style>
  <w:style w:type="paragraph" w:styleId="Heading8">
    <w:name w:val="heading 8"/>
    <w:basedOn w:val="Normal"/>
    <w:next w:val="Normal"/>
    <w:qFormat/>
    <w:rsid w:val="006E684F"/>
    <w:pPr>
      <w:numPr>
        <w:ilvl w:val="7"/>
        <w:numId w:val="11"/>
      </w:numPr>
      <w:spacing w:before="240" w:after="60"/>
      <w:outlineLvl w:val="7"/>
    </w:pPr>
    <w:rPr>
      <w:i/>
      <w:iCs/>
      <w:sz w:val="24"/>
      <w:szCs w:val="24"/>
    </w:rPr>
  </w:style>
  <w:style w:type="paragraph" w:styleId="Heading9">
    <w:name w:val="heading 9"/>
    <w:basedOn w:val="Normal"/>
    <w:next w:val="Normal"/>
    <w:qFormat/>
    <w:rsid w:val="006E684F"/>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684F"/>
    <w:rPr>
      <w:sz w:val="18"/>
    </w:rPr>
  </w:style>
  <w:style w:type="character" w:styleId="EndnoteReference">
    <w:name w:val="endnote reference"/>
    <w:basedOn w:val="DefaultParagraphFont"/>
    <w:semiHidden/>
    <w:rsid w:val="006E684F"/>
    <w:rPr>
      <w:vertAlign w:val="superscript"/>
    </w:rPr>
  </w:style>
  <w:style w:type="paragraph" w:styleId="Footer">
    <w:name w:val="footer"/>
    <w:basedOn w:val="Normal"/>
    <w:rsid w:val="006E684F"/>
    <w:pPr>
      <w:tabs>
        <w:tab w:val="center" w:pos="4320"/>
        <w:tab w:val="right" w:pos="8640"/>
      </w:tabs>
    </w:pPr>
    <w:rPr>
      <w:rFonts w:ascii="Helvetica" w:hAnsi="Helvetica"/>
      <w:sz w:val="16"/>
    </w:rPr>
  </w:style>
  <w:style w:type="paragraph" w:styleId="BodyText2">
    <w:name w:val="Body Text 2"/>
    <w:basedOn w:val="Normal"/>
    <w:rsid w:val="006E684F"/>
    <w:pPr>
      <w:ind w:left="567" w:hanging="567"/>
    </w:pPr>
    <w:rPr>
      <w:b/>
    </w:rPr>
  </w:style>
  <w:style w:type="character" w:styleId="Hyperlink">
    <w:name w:val="Hyperlink"/>
    <w:basedOn w:val="DefaultParagraphFont"/>
    <w:uiPriority w:val="99"/>
    <w:rsid w:val="006E684F"/>
    <w:rPr>
      <w:color w:val="0000FF"/>
      <w:u w:val="single"/>
    </w:rPr>
  </w:style>
  <w:style w:type="character" w:styleId="PageNumber">
    <w:name w:val="page number"/>
    <w:basedOn w:val="DefaultParagraphFont"/>
    <w:rsid w:val="006E684F"/>
  </w:style>
  <w:style w:type="paragraph" w:styleId="BodyText">
    <w:name w:val="Body Text"/>
    <w:basedOn w:val="Normal"/>
    <w:rsid w:val="006E684F"/>
    <w:pPr>
      <w:tabs>
        <w:tab w:val="clear" w:pos="567"/>
      </w:tabs>
    </w:pPr>
    <w:rPr>
      <w:i/>
      <w:color w:val="008000"/>
    </w:rPr>
  </w:style>
  <w:style w:type="paragraph" w:styleId="BodyTextIndent2">
    <w:name w:val="Body Text Indent 2"/>
    <w:basedOn w:val="Normal"/>
    <w:rsid w:val="006E684F"/>
    <w:pPr>
      <w:tabs>
        <w:tab w:val="clear" w:pos="567"/>
      </w:tabs>
      <w:ind w:left="567" w:hanging="567"/>
    </w:pPr>
  </w:style>
  <w:style w:type="paragraph" w:customStyle="1" w:styleId="Potsikko">
    <w:name w:val="Pääotsikko"/>
    <w:rsid w:val="006E684F"/>
    <w:pPr>
      <w:jc w:val="center"/>
    </w:pPr>
    <w:rPr>
      <w:b/>
      <w:sz w:val="28"/>
      <w:lang w:val="fi-FI" w:eastAsia="en-US"/>
    </w:rPr>
  </w:style>
  <w:style w:type="paragraph" w:styleId="BalloonText">
    <w:name w:val="Balloon Text"/>
    <w:basedOn w:val="Normal"/>
    <w:semiHidden/>
    <w:rsid w:val="006E684F"/>
    <w:rPr>
      <w:rFonts w:ascii="Tahoma" w:hAnsi="Tahoma" w:cs="Tahoma"/>
      <w:sz w:val="16"/>
      <w:szCs w:val="16"/>
    </w:rPr>
  </w:style>
  <w:style w:type="table" w:styleId="TableGrid">
    <w:name w:val="Table Grid"/>
    <w:basedOn w:val="TableNormal"/>
    <w:rsid w:val="006E684F"/>
    <w:pPr>
      <w:widowControl w:val="0"/>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6E684F"/>
    <w:pPr>
      <w:widowControl/>
      <w:tabs>
        <w:tab w:val="clear" w:pos="567"/>
      </w:tabs>
      <w:spacing w:after="240" w:line="312" w:lineRule="atLeast"/>
    </w:pPr>
    <w:rPr>
      <w:sz w:val="24"/>
      <w:lang w:val="en-GB"/>
    </w:rPr>
  </w:style>
  <w:style w:type="paragraph" w:styleId="ListParagraph">
    <w:name w:val="List Paragraph"/>
    <w:basedOn w:val="Normal"/>
    <w:uiPriority w:val="34"/>
    <w:qFormat/>
    <w:rsid w:val="003461AD"/>
    <w:pPr>
      <w:ind w:left="720"/>
      <w:contextualSpacing/>
    </w:pPr>
  </w:style>
  <w:style w:type="character" w:styleId="CommentReference">
    <w:name w:val="annotation reference"/>
    <w:basedOn w:val="DefaultParagraphFont"/>
    <w:rsid w:val="00F81406"/>
    <w:rPr>
      <w:sz w:val="16"/>
      <w:szCs w:val="16"/>
    </w:rPr>
  </w:style>
  <w:style w:type="paragraph" w:styleId="CommentText">
    <w:name w:val="annotation text"/>
    <w:basedOn w:val="Normal"/>
    <w:link w:val="CommentTextChar"/>
    <w:rsid w:val="00F81406"/>
    <w:rPr>
      <w:sz w:val="20"/>
    </w:rPr>
  </w:style>
  <w:style w:type="character" w:customStyle="1" w:styleId="CommentTextChar">
    <w:name w:val="Comment Text Char"/>
    <w:basedOn w:val="DefaultParagraphFont"/>
    <w:link w:val="CommentText"/>
    <w:rsid w:val="00F81406"/>
    <w:rPr>
      <w:lang w:val="fi-FI" w:eastAsia="en-US"/>
    </w:rPr>
  </w:style>
  <w:style w:type="paragraph" w:styleId="CommentSubject">
    <w:name w:val="annotation subject"/>
    <w:basedOn w:val="CommentText"/>
    <w:next w:val="CommentText"/>
    <w:link w:val="CommentSubjectChar"/>
    <w:rsid w:val="00F81406"/>
    <w:rPr>
      <w:b/>
      <w:bCs/>
    </w:rPr>
  </w:style>
  <w:style w:type="character" w:customStyle="1" w:styleId="CommentSubjectChar">
    <w:name w:val="Comment Subject Char"/>
    <w:basedOn w:val="CommentTextChar"/>
    <w:link w:val="CommentSubject"/>
    <w:rsid w:val="00F81406"/>
    <w:rPr>
      <w:b/>
      <w:bCs/>
      <w:lang w:val="fi-FI" w:eastAsia="en-US"/>
    </w:rPr>
  </w:style>
  <w:style w:type="paragraph" w:styleId="Header">
    <w:name w:val="header"/>
    <w:basedOn w:val="Normal"/>
    <w:link w:val="HeaderChar"/>
    <w:rsid w:val="007D10A8"/>
    <w:pPr>
      <w:widowControl/>
      <w:tabs>
        <w:tab w:val="clear" w:pos="567"/>
        <w:tab w:val="center" w:pos="4536"/>
        <w:tab w:val="right" w:pos="9072"/>
      </w:tabs>
    </w:pPr>
    <w:rPr>
      <w:sz w:val="24"/>
      <w:lang w:val="sv-SE"/>
    </w:rPr>
  </w:style>
  <w:style w:type="character" w:customStyle="1" w:styleId="HeaderChar">
    <w:name w:val="Header Char"/>
    <w:basedOn w:val="DefaultParagraphFont"/>
    <w:link w:val="Header"/>
    <w:rsid w:val="007D10A8"/>
    <w:rPr>
      <w:sz w:val="24"/>
      <w:lang w:val="sv-SE" w:eastAsia="en-US"/>
    </w:rPr>
  </w:style>
  <w:style w:type="paragraph" w:customStyle="1" w:styleId="Default">
    <w:name w:val="Default"/>
    <w:rsid w:val="007D10A8"/>
    <w:pPr>
      <w:autoSpaceDE w:val="0"/>
      <w:autoSpaceDN w:val="0"/>
      <w:adjustRightInd w:val="0"/>
    </w:pPr>
    <w:rPr>
      <w:rFonts w:ascii="Verdana" w:hAnsi="Verdana" w:cs="Verdana"/>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69AA8-CBA9-4CBE-9A1B-9111367D906A}">
  <ds:schemaRefs>
    <ds:schemaRef ds:uri="http://schemas.openxmlformats.org/officeDocument/2006/bibliography"/>
  </ds:schemaRefs>
</ds:datastoreItem>
</file>

<file path=customXml/itemProps2.xml><?xml version="1.0" encoding="utf-8"?>
<ds:datastoreItem xmlns:ds="http://schemas.openxmlformats.org/officeDocument/2006/customXml" ds:itemID="{B3CD2934-B177-4C66-9CB1-6B10474CCD5C}">
  <ds:schemaRefs>
    <ds:schemaRef ds:uri="http://schemas.microsoft.com/sharepoint/v3/contenttype/forms"/>
  </ds:schemaRefs>
</ds:datastoreItem>
</file>

<file path=customXml/itemProps3.xml><?xml version="1.0" encoding="utf-8"?>
<ds:datastoreItem xmlns:ds="http://schemas.openxmlformats.org/officeDocument/2006/customXml" ds:itemID="{AE2C48D0-417A-4EE1-A57D-0167F0E6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8DE22C-70C4-4F16-95B9-E472752D070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6002</Words>
  <Characters>45614</Characters>
  <Application>Microsoft Office Word</Application>
  <DocSecurity>0</DocSecurity>
  <Lines>380</Lines>
  <Paragraphs>103</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Summary of Product Characteristics</vt:lpstr>
      <vt:lpstr>Summary of Product Characteristics</vt:lpstr>
      <vt:lpstr>Summary of Product Characteristics</vt:lpstr>
    </vt:vector>
  </TitlesOfParts>
  <Company>Orion Corporation</Company>
  <LinksUpToDate>false</LinksUpToDate>
  <CharactersWithSpaces>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Tuomo Lapveteläinen</dc:creator>
  <cp:lastModifiedBy>Johanna Lindberg</cp:lastModifiedBy>
  <cp:revision>4</cp:revision>
  <cp:lastPrinted>2014-10-07T12:33:00Z</cp:lastPrinted>
  <dcterms:created xsi:type="dcterms:W3CDTF">2022-02-03T10:20:00Z</dcterms:created>
  <dcterms:modified xsi:type="dcterms:W3CDTF">2022-02-03T10:21:00Z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_i_chronicle_id">
    <vt:lpwstr>090017ff803ea95d</vt:lpwstr>
  </property>
  <property fmtid="{D5CDD505-2E9C-101B-9397-08002B2CF9AE}" pid="3" name="o_r_version_label">
    <vt:lpwstr>1.9, CURRENT, Reviewed</vt:lpwstr>
  </property>
  <property fmtid="{D5CDD505-2E9C-101B-9397-08002B2CF9AE}" pid="4" name="Phases">
    <vt:i4>1</vt:i4>
  </property>
  <property fmtid="{D5CDD505-2E9C-101B-9397-08002B2CF9AE}" pid="5" name="LSPhases">
    <vt:i4>1</vt:i4>
  </property>
  <property fmtid="{D5CDD505-2E9C-101B-9397-08002B2CF9AE}" pid="6" name="_NewReviewCycle">
    <vt:lpwstr/>
  </property>
</Properties>
</file>